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98" w:rsidRPr="00146590" w:rsidRDefault="00FF4098" w:rsidP="005111F0">
      <w:pPr>
        <w:shd w:val="clear" w:color="auto" w:fill="F5F5F5"/>
        <w:jc w:val="left"/>
        <w:textAlignment w:val="top"/>
        <w:rPr>
          <w:b/>
          <w:sz w:val="24"/>
          <w:szCs w:val="24"/>
          <w:lang w:val="en-GB"/>
        </w:rPr>
      </w:pPr>
    </w:p>
    <w:p w:rsidR="00FF4098" w:rsidRPr="00146590" w:rsidRDefault="00FF4098" w:rsidP="005111F0">
      <w:pPr>
        <w:shd w:val="clear" w:color="auto" w:fill="F5F5F5"/>
        <w:jc w:val="left"/>
        <w:textAlignment w:val="top"/>
        <w:rPr>
          <w:b/>
          <w:sz w:val="24"/>
          <w:szCs w:val="24"/>
          <w:lang w:val="en-GB"/>
        </w:rPr>
      </w:pPr>
    </w:p>
    <w:p w:rsidR="00A23F64" w:rsidRDefault="005111F0" w:rsidP="005111F0">
      <w:pPr>
        <w:shd w:val="clear" w:color="auto" w:fill="F5F5F5"/>
        <w:jc w:val="left"/>
        <w:textAlignment w:val="top"/>
        <w:rPr>
          <w:sz w:val="24"/>
          <w:szCs w:val="24"/>
          <w:lang w:val="en-GB"/>
        </w:rPr>
      </w:pPr>
      <w:r w:rsidRPr="00146590">
        <w:rPr>
          <w:b/>
          <w:sz w:val="24"/>
          <w:szCs w:val="24"/>
          <w:lang w:val="en-GB"/>
        </w:rPr>
        <w:t>Guidelines for</w:t>
      </w:r>
      <w:r w:rsidR="00A82A02" w:rsidRPr="00146590">
        <w:rPr>
          <w:b/>
          <w:sz w:val="24"/>
          <w:szCs w:val="24"/>
          <w:lang w:val="en-GB"/>
        </w:rPr>
        <w:t xml:space="preserve"> the</w:t>
      </w:r>
      <w:r w:rsidRPr="00146590">
        <w:rPr>
          <w:b/>
          <w:sz w:val="24"/>
          <w:szCs w:val="24"/>
          <w:lang w:val="en-GB"/>
        </w:rPr>
        <w:t xml:space="preserve"> qualification system for assessors in Banedanmark</w:t>
      </w:r>
      <w:r w:rsidR="00E36892">
        <w:rPr>
          <w:b/>
          <w:sz w:val="24"/>
          <w:szCs w:val="24"/>
          <w:lang w:val="en-GB"/>
        </w:rPr>
        <w:t>.</w:t>
      </w:r>
      <w:r w:rsidRPr="00146590">
        <w:rPr>
          <w:sz w:val="24"/>
          <w:szCs w:val="24"/>
          <w:lang w:val="en-GB"/>
        </w:rPr>
        <w:br/>
      </w:r>
      <w:r w:rsidRPr="00146590">
        <w:rPr>
          <w:sz w:val="24"/>
          <w:szCs w:val="24"/>
          <w:lang w:val="en-GB"/>
        </w:rPr>
        <w:br/>
      </w:r>
      <w:r w:rsidR="002A7560" w:rsidRPr="002A7560">
        <w:rPr>
          <w:sz w:val="24"/>
          <w:szCs w:val="24"/>
          <w:lang w:val="en-GB"/>
        </w:rPr>
        <w:t>Qualification system for railway services for notified bodies (NoBo) and independent safety assessors (ISA)</w:t>
      </w:r>
      <w:r w:rsidR="004F7A54">
        <w:rPr>
          <w:sz w:val="24"/>
          <w:szCs w:val="24"/>
          <w:lang w:val="en-GB"/>
        </w:rPr>
        <w:t>.</w:t>
      </w:r>
      <w:r w:rsidRPr="00146590">
        <w:rPr>
          <w:sz w:val="24"/>
          <w:szCs w:val="24"/>
          <w:lang w:val="en-GB"/>
        </w:rPr>
        <w:br/>
      </w:r>
      <w:r w:rsidRPr="00146590">
        <w:rPr>
          <w:sz w:val="24"/>
          <w:szCs w:val="24"/>
          <w:lang w:val="en-GB"/>
        </w:rPr>
        <w:br/>
        <w:t>Please note that acceptance to the qualification system can lead to the applicant being invited to tender for projects</w:t>
      </w:r>
      <w:r w:rsidR="0098498E">
        <w:rPr>
          <w:sz w:val="24"/>
          <w:szCs w:val="24"/>
          <w:lang w:val="en-GB"/>
        </w:rPr>
        <w:t>.</w:t>
      </w:r>
      <w:r w:rsidR="001952BE">
        <w:rPr>
          <w:sz w:val="24"/>
          <w:szCs w:val="24"/>
          <w:lang w:val="en-GB"/>
        </w:rPr>
        <w:t xml:space="preserve"> </w:t>
      </w:r>
      <w:r w:rsidR="0098498E">
        <w:rPr>
          <w:sz w:val="24"/>
          <w:szCs w:val="24"/>
          <w:lang w:val="en-GB"/>
        </w:rPr>
        <w:t>H</w:t>
      </w:r>
      <w:r w:rsidRPr="00146590">
        <w:rPr>
          <w:sz w:val="24"/>
          <w:szCs w:val="24"/>
          <w:lang w:val="en-GB"/>
        </w:rPr>
        <w:t>owever</w:t>
      </w:r>
      <w:r w:rsidR="0098498E">
        <w:rPr>
          <w:sz w:val="24"/>
          <w:szCs w:val="24"/>
          <w:lang w:val="en-GB"/>
        </w:rPr>
        <w:t>,</w:t>
      </w:r>
      <w:r w:rsidRPr="00146590">
        <w:rPr>
          <w:sz w:val="24"/>
          <w:szCs w:val="24"/>
          <w:lang w:val="en-GB"/>
        </w:rPr>
        <w:t xml:space="preserve"> the applicant is not</w:t>
      </w:r>
      <w:r w:rsidR="00A23F64">
        <w:rPr>
          <w:sz w:val="24"/>
          <w:szCs w:val="24"/>
          <w:lang w:val="en-GB"/>
        </w:rPr>
        <w:t xml:space="preserve"> guaranteed such invitations. </w:t>
      </w:r>
      <w:r w:rsidR="00A23F64">
        <w:rPr>
          <w:sz w:val="24"/>
          <w:szCs w:val="24"/>
          <w:lang w:val="en-GB"/>
        </w:rPr>
        <w:br/>
      </w:r>
    </w:p>
    <w:p w:rsidR="00166F75" w:rsidRDefault="003714E4" w:rsidP="005111F0">
      <w:pPr>
        <w:shd w:val="clear" w:color="auto" w:fill="F5F5F5"/>
        <w:jc w:val="left"/>
        <w:textAlignment w:val="top"/>
        <w:rPr>
          <w:sz w:val="24"/>
          <w:szCs w:val="24"/>
          <w:lang w:val="en-GB"/>
        </w:rPr>
      </w:pPr>
      <w:r w:rsidRPr="00146590">
        <w:rPr>
          <w:sz w:val="24"/>
          <w:szCs w:val="24"/>
          <w:lang w:val="en-GB"/>
        </w:rPr>
        <w:t>The duration of the qualification system is indefinite</w:t>
      </w:r>
      <w:r w:rsidR="007C38B8" w:rsidRPr="00146590">
        <w:rPr>
          <w:sz w:val="24"/>
          <w:szCs w:val="24"/>
          <w:lang w:val="en-GB"/>
        </w:rPr>
        <w:t xml:space="preserve"> and expires when Banedanmark allows it to cease. </w:t>
      </w:r>
      <w:r w:rsidR="005111F0" w:rsidRPr="00146590">
        <w:rPr>
          <w:sz w:val="24"/>
          <w:szCs w:val="24"/>
          <w:lang w:val="en-GB"/>
        </w:rPr>
        <w:br/>
      </w:r>
      <w:r w:rsidR="005111F0" w:rsidRPr="00146590">
        <w:rPr>
          <w:sz w:val="24"/>
          <w:szCs w:val="24"/>
          <w:lang w:val="en-GB"/>
        </w:rPr>
        <w:br/>
      </w:r>
      <w:r w:rsidR="00E3445A">
        <w:rPr>
          <w:sz w:val="24"/>
          <w:szCs w:val="24"/>
          <w:lang w:val="en-GB"/>
        </w:rPr>
        <w:t>Beside the European Single Procurement Document (</w:t>
      </w:r>
      <w:r w:rsidR="005B4C46">
        <w:rPr>
          <w:sz w:val="24"/>
          <w:szCs w:val="24"/>
          <w:lang w:val="en-GB"/>
        </w:rPr>
        <w:t xml:space="preserve">hereinafter the </w:t>
      </w:r>
      <w:r w:rsidR="00E3445A">
        <w:rPr>
          <w:sz w:val="24"/>
          <w:szCs w:val="24"/>
          <w:lang w:val="en-GB"/>
        </w:rPr>
        <w:t>ESPD), t</w:t>
      </w:r>
      <w:r w:rsidR="005111F0" w:rsidRPr="00146590">
        <w:rPr>
          <w:sz w:val="24"/>
          <w:szCs w:val="24"/>
          <w:lang w:val="en-GB"/>
        </w:rPr>
        <w:t xml:space="preserve">he application should be filed in </w:t>
      </w:r>
      <w:r w:rsidR="008A6007" w:rsidRPr="00146590">
        <w:rPr>
          <w:sz w:val="24"/>
          <w:szCs w:val="24"/>
          <w:lang w:val="en-GB"/>
        </w:rPr>
        <w:t>one</w:t>
      </w:r>
      <w:r w:rsidR="005111F0" w:rsidRPr="00146590">
        <w:rPr>
          <w:sz w:val="24"/>
          <w:szCs w:val="24"/>
          <w:lang w:val="en-GB"/>
        </w:rPr>
        <w:t xml:space="preserve"> electronic </w:t>
      </w:r>
      <w:r w:rsidR="008A6007" w:rsidRPr="00146590">
        <w:rPr>
          <w:sz w:val="24"/>
          <w:szCs w:val="24"/>
          <w:lang w:val="en-GB"/>
        </w:rPr>
        <w:t>version</w:t>
      </w:r>
      <w:r w:rsidR="001952BE">
        <w:rPr>
          <w:sz w:val="24"/>
          <w:szCs w:val="24"/>
          <w:lang w:val="en-GB"/>
        </w:rPr>
        <w:t xml:space="preserve"> </w:t>
      </w:r>
      <w:r w:rsidR="005111F0" w:rsidRPr="00146590">
        <w:rPr>
          <w:sz w:val="24"/>
          <w:szCs w:val="24"/>
          <w:lang w:val="en-GB"/>
        </w:rPr>
        <w:t xml:space="preserve">via </w:t>
      </w:r>
      <w:r w:rsidR="008A6007" w:rsidRPr="00146590">
        <w:rPr>
          <w:sz w:val="24"/>
          <w:szCs w:val="24"/>
          <w:lang w:val="en-GB"/>
        </w:rPr>
        <w:t>mail to</w:t>
      </w:r>
      <w:r w:rsidR="001952BE">
        <w:rPr>
          <w:sz w:val="24"/>
          <w:szCs w:val="24"/>
          <w:lang w:val="en-GB"/>
        </w:rPr>
        <w:t xml:space="preserve"> kvalifikationsordning@bane.dk</w:t>
      </w:r>
      <w:r w:rsidR="005111F0" w:rsidRPr="00146590">
        <w:rPr>
          <w:sz w:val="24"/>
          <w:szCs w:val="24"/>
          <w:lang w:val="en-GB"/>
        </w:rPr>
        <w:br/>
      </w:r>
      <w:r w:rsidR="005111F0" w:rsidRPr="00146590">
        <w:rPr>
          <w:sz w:val="24"/>
          <w:szCs w:val="24"/>
          <w:lang w:val="en-GB"/>
        </w:rPr>
        <w:br/>
      </w:r>
      <w:r w:rsidR="00166F75">
        <w:rPr>
          <w:sz w:val="24"/>
          <w:szCs w:val="24"/>
          <w:lang w:val="en-GB"/>
        </w:rPr>
        <w:t>By filling out Annex 1 the applicant decla</w:t>
      </w:r>
      <w:r w:rsidR="00176CFD">
        <w:rPr>
          <w:sz w:val="24"/>
          <w:szCs w:val="24"/>
          <w:lang w:val="en-GB"/>
        </w:rPr>
        <w:t>res within which categories the</w:t>
      </w:r>
      <w:r w:rsidR="00166F75">
        <w:rPr>
          <w:sz w:val="24"/>
          <w:szCs w:val="24"/>
          <w:lang w:val="en-GB"/>
        </w:rPr>
        <w:t xml:space="preserve">y are applying admission for. </w:t>
      </w:r>
    </w:p>
    <w:p w:rsidR="00166F75" w:rsidRDefault="005111F0" w:rsidP="005111F0">
      <w:pPr>
        <w:shd w:val="clear" w:color="auto" w:fill="F5F5F5"/>
        <w:jc w:val="left"/>
        <w:textAlignment w:val="top"/>
        <w:rPr>
          <w:sz w:val="24"/>
          <w:szCs w:val="24"/>
          <w:lang w:val="en-GB"/>
        </w:rPr>
      </w:pPr>
      <w:r w:rsidRPr="00146590">
        <w:rPr>
          <w:sz w:val="24"/>
          <w:szCs w:val="24"/>
          <w:lang w:val="en-GB"/>
        </w:rPr>
        <w:br/>
      </w:r>
      <w:r w:rsidR="008572BE">
        <w:rPr>
          <w:sz w:val="24"/>
          <w:szCs w:val="24"/>
          <w:lang w:val="en-GB"/>
        </w:rPr>
        <w:t>The choice</w:t>
      </w:r>
      <w:r w:rsidR="00166F75">
        <w:rPr>
          <w:sz w:val="24"/>
          <w:szCs w:val="24"/>
          <w:lang w:val="en-GB"/>
        </w:rPr>
        <w:t xml:space="preserve"> of </w:t>
      </w:r>
      <w:r w:rsidR="000A635F">
        <w:rPr>
          <w:sz w:val="24"/>
          <w:szCs w:val="24"/>
          <w:lang w:val="en-GB"/>
        </w:rPr>
        <w:t>tender</w:t>
      </w:r>
      <w:r w:rsidR="008572BE">
        <w:rPr>
          <w:sz w:val="24"/>
          <w:szCs w:val="24"/>
          <w:lang w:val="en-GB"/>
        </w:rPr>
        <w:t xml:space="preserve"> procedure </w:t>
      </w:r>
      <w:r w:rsidR="00166F75">
        <w:rPr>
          <w:sz w:val="24"/>
          <w:szCs w:val="24"/>
          <w:lang w:val="en-GB"/>
        </w:rPr>
        <w:t xml:space="preserve">will usually be either restricted or </w:t>
      </w:r>
      <w:r w:rsidR="008572BE">
        <w:rPr>
          <w:sz w:val="24"/>
          <w:szCs w:val="24"/>
          <w:lang w:val="en-GB"/>
        </w:rPr>
        <w:t xml:space="preserve">negotiated procedure. Choice of procedure will be indicated in the tender invitation for the specific task. </w:t>
      </w:r>
    </w:p>
    <w:p w:rsidR="00166F75" w:rsidRDefault="00166F75" w:rsidP="005111F0">
      <w:pPr>
        <w:shd w:val="clear" w:color="auto" w:fill="F5F5F5"/>
        <w:jc w:val="left"/>
        <w:textAlignment w:val="top"/>
        <w:rPr>
          <w:sz w:val="24"/>
          <w:szCs w:val="24"/>
          <w:lang w:val="en-GB"/>
        </w:rPr>
      </w:pPr>
    </w:p>
    <w:p w:rsidR="00F302B3" w:rsidRPr="00842A34" w:rsidRDefault="00CA095C" w:rsidP="00274DBC">
      <w:pPr>
        <w:shd w:val="clear" w:color="auto" w:fill="F5F5F5"/>
        <w:jc w:val="left"/>
        <w:textAlignment w:val="top"/>
        <w:rPr>
          <w:color w:val="000000" w:themeColor="text1"/>
          <w:sz w:val="24"/>
          <w:szCs w:val="24"/>
        </w:rPr>
      </w:pPr>
      <w:r w:rsidRPr="00B12352">
        <w:rPr>
          <w:color w:val="000000" w:themeColor="text1"/>
          <w:sz w:val="24"/>
          <w:szCs w:val="24"/>
          <w:lang w:val="en-GB"/>
        </w:rPr>
        <w:t xml:space="preserve">Besides the application, </w:t>
      </w:r>
      <w:r w:rsidR="00C71730" w:rsidRPr="00B12352">
        <w:rPr>
          <w:color w:val="000000" w:themeColor="text1"/>
          <w:sz w:val="24"/>
          <w:szCs w:val="24"/>
          <w:lang w:val="en-GB"/>
        </w:rPr>
        <w:t>a request</w:t>
      </w:r>
      <w:r w:rsidR="00A60069" w:rsidRPr="00B12352">
        <w:rPr>
          <w:color w:val="000000" w:themeColor="text1"/>
          <w:sz w:val="24"/>
          <w:szCs w:val="24"/>
          <w:lang w:val="en-GB"/>
        </w:rPr>
        <w:t xml:space="preserve"> for admission at the qualification system for notified bodies and independent safety assessors </w:t>
      </w:r>
      <w:r w:rsidR="005E3130" w:rsidRPr="00B12352">
        <w:rPr>
          <w:color w:val="000000" w:themeColor="text1"/>
          <w:sz w:val="24"/>
          <w:szCs w:val="24"/>
          <w:lang w:val="en-GB"/>
        </w:rPr>
        <w:t xml:space="preserve">consist of the </w:t>
      </w:r>
      <w:r w:rsidR="005B4C46" w:rsidRPr="00B12352">
        <w:rPr>
          <w:color w:val="000000" w:themeColor="text1"/>
          <w:sz w:val="24"/>
          <w:szCs w:val="24"/>
          <w:lang w:val="en-GB"/>
        </w:rPr>
        <w:t>ESPD</w:t>
      </w:r>
      <w:r w:rsidR="005E3130" w:rsidRPr="00B12352">
        <w:rPr>
          <w:color w:val="000000" w:themeColor="text1"/>
          <w:sz w:val="24"/>
          <w:szCs w:val="24"/>
          <w:lang w:val="en-GB"/>
        </w:rPr>
        <w:t xml:space="preserve"> and any </w:t>
      </w:r>
      <w:r w:rsidR="00E71399" w:rsidRPr="00B12352">
        <w:rPr>
          <w:color w:val="000000" w:themeColor="text1"/>
          <w:sz w:val="24"/>
          <w:szCs w:val="24"/>
          <w:lang w:val="en-GB"/>
        </w:rPr>
        <w:t>declarations of support.</w:t>
      </w:r>
      <w:r w:rsidR="00AC01E5" w:rsidRPr="00B12352">
        <w:rPr>
          <w:b/>
          <w:color w:val="000000" w:themeColor="text1"/>
          <w:sz w:val="24"/>
          <w:szCs w:val="24"/>
          <w:lang w:val="en-GB"/>
        </w:rPr>
        <w:t xml:space="preserve"> </w:t>
      </w:r>
      <w:r w:rsidR="00F302B3" w:rsidRPr="00B12352">
        <w:rPr>
          <w:color w:val="000000" w:themeColor="text1"/>
          <w:sz w:val="24"/>
          <w:szCs w:val="24"/>
          <w:lang w:val="en-GB"/>
        </w:rPr>
        <w:t xml:space="preserve">The </w:t>
      </w:r>
      <w:r w:rsidR="005E3130" w:rsidRPr="00B12352">
        <w:rPr>
          <w:color w:val="000000" w:themeColor="text1"/>
          <w:sz w:val="24"/>
          <w:szCs w:val="24"/>
          <w:lang w:val="en-GB"/>
        </w:rPr>
        <w:t>applicant has to fill in part II-VI i</w:t>
      </w:r>
      <w:r w:rsidR="00F302B3" w:rsidRPr="00B12352">
        <w:rPr>
          <w:color w:val="000000" w:themeColor="text1"/>
          <w:sz w:val="24"/>
          <w:szCs w:val="24"/>
          <w:lang w:val="en-GB"/>
        </w:rPr>
        <w:t>n the ESPD</w:t>
      </w:r>
      <w:r w:rsidR="0098498E" w:rsidRPr="00B12352">
        <w:rPr>
          <w:color w:val="000000" w:themeColor="text1"/>
          <w:sz w:val="24"/>
          <w:szCs w:val="24"/>
          <w:lang w:val="en-GB"/>
        </w:rPr>
        <w:t>.</w:t>
      </w:r>
      <w:r w:rsidR="00842A34">
        <w:rPr>
          <w:color w:val="000000" w:themeColor="text1"/>
          <w:sz w:val="24"/>
          <w:szCs w:val="24"/>
          <w:lang w:val="en-GB"/>
        </w:rPr>
        <w:t xml:space="preserve"> </w:t>
      </w:r>
      <w:r w:rsidR="00E71399" w:rsidRPr="00842A34">
        <w:rPr>
          <w:color w:val="000000" w:themeColor="text1"/>
          <w:sz w:val="24"/>
          <w:szCs w:val="24"/>
        </w:rPr>
        <w:t xml:space="preserve">Suppliers </w:t>
      </w:r>
      <w:proofErr w:type="spellStart"/>
      <w:r w:rsidR="00E71399" w:rsidRPr="00842A34">
        <w:rPr>
          <w:color w:val="000000" w:themeColor="text1"/>
          <w:sz w:val="24"/>
          <w:szCs w:val="24"/>
        </w:rPr>
        <w:t>are</w:t>
      </w:r>
      <w:proofErr w:type="spellEnd"/>
      <w:r w:rsidR="00E71399" w:rsidRPr="00842A34">
        <w:rPr>
          <w:color w:val="000000" w:themeColor="text1"/>
          <w:sz w:val="24"/>
          <w:szCs w:val="24"/>
        </w:rPr>
        <w:t xml:space="preserve"> </w:t>
      </w:r>
      <w:proofErr w:type="spellStart"/>
      <w:r w:rsidR="00E71399" w:rsidRPr="00842A34">
        <w:rPr>
          <w:color w:val="000000" w:themeColor="text1"/>
          <w:sz w:val="24"/>
          <w:szCs w:val="24"/>
        </w:rPr>
        <w:t>recommended</w:t>
      </w:r>
      <w:proofErr w:type="spellEnd"/>
      <w:r w:rsidR="00E71399" w:rsidRPr="00842A34">
        <w:rPr>
          <w:color w:val="000000" w:themeColor="text1"/>
          <w:sz w:val="24"/>
          <w:szCs w:val="24"/>
        </w:rPr>
        <w:t xml:space="preserve"> to </w:t>
      </w:r>
      <w:proofErr w:type="spellStart"/>
      <w:r w:rsidR="00E71399" w:rsidRPr="00842A34">
        <w:rPr>
          <w:color w:val="000000" w:themeColor="text1"/>
          <w:sz w:val="24"/>
          <w:szCs w:val="24"/>
        </w:rPr>
        <w:t>carefully</w:t>
      </w:r>
      <w:proofErr w:type="spellEnd"/>
      <w:r w:rsidR="00E71399" w:rsidRPr="00842A34">
        <w:rPr>
          <w:color w:val="000000" w:themeColor="text1"/>
          <w:sz w:val="24"/>
          <w:szCs w:val="24"/>
        </w:rPr>
        <w:t xml:space="preserve"> </w:t>
      </w:r>
      <w:proofErr w:type="spellStart"/>
      <w:r w:rsidR="00E71399" w:rsidRPr="00842A34">
        <w:rPr>
          <w:color w:val="000000" w:themeColor="text1"/>
          <w:sz w:val="24"/>
          <w:szCs w:val="24"/>
        </w:rPr>
        <w:t>read</w:t>
      </w:r>
      <w:proofErr w:type="spellEnd"/>
      <w:r w:rsidR="00E71399" w:rsidRPr="00842A34">
        <w:rPr>
          <w:color w:val="000000" w:themeColor="text1"/>
          <w:sz w:val="24"/>
          <w:szCs w:val="24"/>
        </w:rPr>
        <w:t xml:space="preserve"> the guidance “Det elektroniske ESPD – Sådan virker det” by Konkurrence- og Forbrugerstyrelsen. </w:t>
      </w:r>
    </w:p>
    <w:p w:rsidR="00B42AAF" w:rsidRPr="00B12352" w:rsidRDefault="00040836" w:rsidP="00274DBC">
      <w:pPr>
        <w:shd w:val="clear" w:color="auto" w:fill="F5F5F5"/>
        <w:jc w:val="left"/>
        <w:textAlignment w:val="top"/>
        <w:rPr>
          <w:color w:val="000000" w:themeColor="text1"/>
          <w:sz w:val="24"/>
          <w:szCs w:val="24"/>
          <w:lang w:val="en-GB"/>
        </w:rPr>
      </w:pPr>
      <w:r w:rsidRPr="00B12352">
        <w:rPr>
          <w:color w:val="000000" w:themeColor="text1"/>
          <w:sz w:val="24"/>
          <w:szCs w:val="24"/>
          <w:lang w:val="en-GB"/>
        </w:rPr>
        <w:t>According to article 59(4) of the directive 2014/24/EU on pu</w:t>
      </w:r>
      <w:r w:rsidR="00E9266B" w:rsidRPr="00B12352">
        <w:rPr>
          <w:color w:val="000000" w:themeColor="text1"/>
          <w:sz w:val="24"/>
          <w:szCs w:val="24"/>
          <w:lang w:val="en-GB"/>
        </w:rPr>
        <w:t>b</w:t>
      </w:r>
      <w:r w:rsidRPr="00B12352">
        <w:rPr>
          <w:color w:val="000000" w:themeColor="text1"/>
          <w:sz w:val="24"/>
          <w:szCs w:val="24"/>
          <w:lang w:val="en-GB"/>
        </w:rPr>
        <w:t>lic procurement, t</w:t>
      </w:r>
      <w:r w:rsidR="00F302B3" w:rsidRPr="00B12352">
        <w:rPr>
          <w:color w:val="000000" w:themeColor="text1"/>
          <w:sz w:val="24"/>
          <w:szCs w:val="24"/>
          <w:lang w:val="en-GB"/>
        </w:rPr>
        <w:t xml:space="preserve">he </w:t>
      </w:r>
      <w:r w:rsidR="0081027D" w:rsidRPr="00B12352">
        <w:rPr>
          <w:color w:val="000000" w:themeColor="text1"/>
          <w:sz w:val="24"/>
          <w:szCs w:val="24"/>
          <w:lang w:val="en-GB"/>
        </w:rPr>
        <w:t>contracting entity</w:t>
      </w:r>
      <w:r w:rsidRPr="00B12352">
        <w:rPr>
          <w:color w:val="000000" w:themeColor="text1"/>
          <w:sz w:val="24"/>
          <w:szCs w:val="24"/>
          <w:lang w:val="en-GB"/>
        </w:rPr>
        <w:t xml:space="preserve"> may ask </w:t>
      </w:r>
      <w:r w:rsidR="00BE61B4" w:rsidRPr="00B12352">
        <w:rPr>
          <w:color w:val="000000" w:themeColor="text1"/>
          <w:sz w:val="24"/>
          <w:szCs w:val="24"/>
          <w:lang w:val="en-GB"/>
        </w:rPr>
        <w:t xml:space="preserve">the applicants at any </w:t>
      </w:r>
      <w:r w:rsidR="008572BE" w:rsidRPr="00B12352">
        <w:rPr>
          <w:color w:val="000000" w:themeColor="text1"/>
          <w:sz w:val="24"/>
          <w:szCs w:val="24"/>
          <w:lang w:val="en-GB"/>
        </w:rPr>
        <w:t>time</w:t>
      </w:r>
      <w:r w:rsidR="00BE61B4" w:rsidRPr="00B12352">
        <w:rPr>
          <w:color w:val="000000" w:themeColor="text1"/>
          <w:sz w:val="24"/>
          <w:szCs w:val="24"/>
          <w:lang w:val="en-GB"/>
        </w:rPr>
        <w:t xml:space="preserve"> during the procedure to submit all or part of the documentation if it is necessary to ensure the proper conduct of the procedure.</w:t>
      </w:r>
    </w:p>
    <w:p w:rsidR="00B42AAF" w:rsidRPr="00B12352" w:rsidRDefault="00B42AAF" w:rsidP="00274DBC">
      <w:pPr>
        <w:shd w:val="clear" w:color="auto" w:fill="F5F5F5"/>
        <w:jc w:val="left"/>
        <w:textAlignment w:val="top"/>
        <w:rPr>
          <w:b/>
          <w:color w:val="000000" w:themeColor="text1"/>
          <w:sz w:val="24"/>
          <w:szCs w:val="24"/>
          <w:lang w:val="en-GB"/>
        </w:rPr>
      </w:pPr>
    </w:p>
    <w:p w:rsidR="00B42AAF" w:rsidRPr="00B12352" w:rsidRDefault="00E71399" w:rsidP="00274DBC">
      <w:pPr>
        <w:shd w:val="clear" w:color="auto" w:fill="F5F5F5"/>
        <w:jc w:val="left"/>
        <w:textAlignment w:val="top"/>
        <w:rPr>
          <w:color w:val="000000" w:themeColor="text1"/>
          <w:sz w:val="24"/>
          <w:szCs w:val="24"/>
          <w:lang w:val="en-GB"/>
        </w:rPr>
      </w:pPr>
      <w:r w:rsidRPr="00B12352">
        <w:rPr>
          <w:color w:val="000000" w:themeColor="text1"/>
          <w:sz w:val="24"/>
          <w:szCs w:val="24"/>
          <w:lang w:val="en-GB"/>
        </w:rPr>
        <w:t>The ESPD</w:t>
      </w:r>
      <w:r w:rsidR="00A11AF7" w:rsidRPr="00B12352">
        <w:rPr>
          <w:color w:val="000000" w:themeColor="text1"/>
          <w:sz w:val="24"/>
          <w:szCs w:val="24"/>
          <w:lang w:val="en-GB"/>
        </w:rPr>
        <w:t xml:space="preserve"> ex</w:t>
      </w:r>
      <w:r w:rsidR="00E9266B" w:rsidRPr="00B12352">
        <w:rPr>
          <w:color w:val="000000" w:themeColor="text1"/>
          <w:sz w:val="24"/>
          <w:szCs w:val="24"/>
          <w:lang w:val="en-GB"/>
        </w:rPr>
        <w:t>ists</w:t>
      </w:r>
      <w:r w:rsidR="00A11AF7" w:rsidRPr="00B12352">
        <w:rPr>
          <w:color w:val="000000" w:themeColor="text1"/>
          <w:sz w:val="24"/>
          <w:szCs w:val="24"/>
          <w:lang w:val="en-GB"/>
        </w:rPr>
        <w:t xml:space="preserve"> as a xml-file. The file will only work with the </w:t>
      </w:r>
      <w:r w:rsidR="00C63FCD" w:rsidRPr="00B12352">
        <w:rPr>
          <w:color w:val="000000" w:themeColor="text1"/>
          <w:sz w:val="24"/>
          <w:szCs w:val="24"/>
          <w:lang w:val="en-GB"/>
        </w:rPr>
        <w:t xml:space="preserve">European </w:t>
      </w:r>
      <w:proofErr w:type="spellStart"/>
      <w:r w:rsidR="00A11AF7" w:rsidRPr="00B12352">
        <w:rPr>
          <w:color w:val="000000" w:themeColor="text1"/>
          <w:sz w:val="24"/>
          <w:szCs w:val="24"/>
          <w:lang w:val="en-GB"/>
        </w:rPr>
        <w:t>Comission</w:t>
      </w:r>
      <w:r w:rsidR="00C63FCD" w:rsidRPr="00B12352">
        <w:rPr>
          <w:color w:val="000000" w:themeColor="text1"/>
          <w:sz w:val="24"/>
          <w:szCs w:val="24"/>
          <w:lang w:val="en-GB"/>
        </w:rPr>
        <w:t>’</w:t>
      </w:r>
      <w:r w:rsidR="00A11AF7" w:rsidRPr="00B12352">
        <w:rPr>
          <w:color w:val="000000" w:themeColor="text1"/>
          <w:sz w:val="24"/>
          <w:szCs w:val="24"/>
          <w:lang w:val="en-GB"/>
        </w:rPr>
        <w:t>s</w:t>
      </w:r>
      <w:proofErr w:type="spellEnd"/>
      <w:r w:rsidR="00A11AF7" w:rsidRPr="00B12352">
        <w:rPr>
          <w:color w:val="000000" w:themeColor="text1"/>
          <w:sz w:val="24"/>
          <w:szCs w:val="24"/>
          <w:lang w:val="en-GB"/>
        </w:rPr>
        <w:t xml:space="preserve"> electronic ESPD service. The file</w:t>
      </w:r>
      <w:r w:rsidR="0081027D" w:rsidRPr="00B12352">
        <w:rPr>
          <w:color w:val="000000" w:themeColor="text1"/>
          <w:sz w:val="24"/>
          <w:szCs w:val="24"/>
          <w:lang w:val="en-GB"/>
        </w:rPr>
        <w:t xml:space="preserve"> can only be opened from </w:t>
      </w:r>
      <w:r w:rsidR="0078765B" w:rsidRPr="00B12352">
        <w:rPr>
          <w:color w:val="000000" w:themeColor="text1"/>
          <w:sz w:val="24"/>
          <w:szCs w:val="24"/>
          <w:lang w:val="en-GB"/>
        </w:rPr>
        <w:t>this service</w:t>
      </w:r>
      <w:r w:rsidR="0081027D" w:rsidRPr="00B12352">
        <w:rPr>
          <w:color w:val="000000" w:themeColor="text1"/>
          <w:sz w:val="24"/>
          <w:szCs w:val="24"/>
          <w:lang w:val="en-GB"/>
        </w:rPr>
        <w:t xml:space="preserve">. </w:t>
      </w:r>
      <w:r w:rsidR="00C71730" w:rsidRPr="00B12352">
        <w:rPr>
          <w:color w:val="000000" w:themeColor="text1"/>
          <w:sz w:val="24"/>
          <w:szCs w:val="24"/>
          <w:lang w:val="en-GB"/>
        </w:rPr>
        <w:t>Only</w:t>
      </w:r>
      <w:r w:rsidR="0081027D" w:rsidRPr="00B12352">
        <w:rPr>
          <w:color w:val="000000" w:themeColor="text1"/>
          <w:sz w:val="24"/>
          <w:szCs w:val="24"/>
          <w:lang w:val="en-GB"/>
        </w:rPr>
        <w:t xml:space="preserve"> codes will appear i</w:t>
      </w:r>
      <w:r w:rsidR="00A11AF7" w:rsidRPr="00B12352">
        <w:rPr>
          <w:color w:val="000000" w:themeColor="text1"/>
          <w:sz w:val="24"/>
          <w:szCs w:val="24"/>
          <w:lang w:val="en-GB"/>
        </w:rPr>
        <w:t xml:space="preserve">f the applicant tries to open the file by </w:t>
      </w:r>
      <w:r w:rsidR="0081027D" w:rsidRPr="00B12352">
        <w:rPr>
          <w:color w:val="000000" w:themeColor="text1"/>
          <w:sz w:val="24"/>
          <w:szCs w:val="24"/>
          <w:lang w:val="en-GB"/>
        </w:rPr>
        <w:t>clicking</w:t>
      </w:r>
      <w:r w:rsidR="00BB0D78" w:rsidRPr="00B12352">
        <w:rPr>
          <w:color w:val="000000" w:themeColor="text1"/>
          <w:sz w:val="24"/>
          <w:szCs w:val="24"/>
          <w:lang w:val="en-GB"/>
        </w:rPr>
        <w:t xml:space="preserve"> at</w:t>
      </w:r>
      <w:r w:rsidR="0081027D" w:rsidRPr="00B12352">
        <w:rPr>
          <w:color w:val="000000" w:themeColor="text1"/>
          <w:sz w:val="24"/>
          <w:szCs w:val="24"/>
          <w:lang w:val="en-GB"/>
        </w:rPr>
        <w:t xml:space="preserve"> it. Therefore, the file </w:t>
      </w:r>
      <w:proofErr w:type="gramStart"/>
      <w:r w:rsidR="0081027D" w:rsidRPr="00B12352">
        <w:rPr>
          <w:color w:val="000000" w:themeColor="text1"/>
          <w:sz w:val="24"/>
          <w:szCs w:val="24"/>
          <w:lang w:val="en-GB"/>
        </w:rPr>
        <w:t>has to</w:t>
      </w:r>
      <w:proofErr w:type="gramEnd"/>
      <w:r w:rsidR="0081027D" w:rsidRPr="00B12352">
        <w:rPr>
          <w:color w:val="000000" w:themeColor="text1"/>
          <w:sz w:val="24"/>
          <w:szCs w:val="24"/>
          <w:lang w:val="en-GB"/>
        </w:rPr>
        <w:t xml:space="preserve"> be downloaded at a computer and the applicant will be able to open the file at the following link: </w:t>
      </w:r>
      <w:hyperlink r:id="rId8" w:history="1">
        <w:r w:rsidR="0081027D" w:rsidRPr="00B12352">
          <w:rPr>
            <w:rStyle w:val="Hyperlink"/>
            <w:color w:val="000000" w:themeColor="text1"/>
            <w:sz w:val="24"/>
            <w:szCs w:val="24"/>
            <w:lang w:val="en-GB"/>
          </w:rPr>
          <w:t>https://ec.europa.eu/tools/espd</w:t>
        </w:r>
      </w:hyperlink>
    </w:p>
    <w:p w:rsidR="0081027D" w:rsidRPr="00A11AF7" w:rsidRDefault="0081027D" w:rsidP="00274DBC">
      <w:pPr>
        <w:shd w:val="clear" w:color="auto" w:fill="F5F5F5"/>
        <w:jc w:val="left"/>
        <w:textAlignment w:val="top"/>
        <w:rPr>
          <w:color w:val="333333"/>
          <w:sz w:val="24"/>
          <w:szCs w:val="24"/>
          <w:lang w:val="en-GB"/>
        </w:rPr>
      </w:pPr>
      <w:r w:rsidRPr="00B12352">
        <w:rPr>
          <w:color w:val="000000" w:themeColor="text1"/>
          <w:sz w:val="24"/>
          <w:szCs w:val="24"/>
          <w:lang w:val="en-GB"/>
        </w:rPr>
        <w:t xml:space="preserve">To open the file at the ESPD service, the applicant has to choose “I am an economic operator” and then “import ESPD”. The applicant </w:t>
      </w:r>
      <w:r w:rsidR="00DA0D56" w:rsidRPr="00B12352">
        <w:rPr>
          <w:color w:val="000000" w:themeColor="text1"/>
          <w:sz w:val="24"/>
          <w:szCs w:val="24"/>
          <w:lang w:val="en-GB"/>
        </w:rPr>
        <w:t>can now</w:t>
      </w:r>
      <w:r w:rsidRPr="00B12352">
        <w:rPr>
          <w:color w:val="000000" w:themeColor="text1"/>
          <w:sz w:val="24"/>
          <w:szCs w:val="24"/>
          <w:lang w:val="en-GB"/>
        </w:rPr>
        <w:t xml:space="preserve"> upload the file downloaded on the computer.</w:t>
      </w:r>
    </w:p>
    <w:p w:rsidR="00B42AAF" w:rsidRPr="00146590" w:rsidRDefault="00B42AAF" w:rsidP="00274DBC">
      <w:pPr>
        <w:shd w:val="clear" w:color="auto" w:fill="F5F5F5"/>
        <w:jc w:val="left"/>
        <w:textAlignment w:val="top"/>
        <w:rPr>
          <w:b/>
          <w:color w:val="333333"/>
          <w:sz w:val="24"/>
          <w:szCs w:val="24"/>
          <w:lang w:val="en-GB"/>
        </w:rPr>
      </w:pPr>
    </w:p>
    <w:p w:rsidR="00B42AAF" w:rsidRPr="00146590" w:rsidRDefault="00B42AAF" w:rsidP="00274DBC">
      <w:pPr>
        <w:shd w:val="clear" w:color="auto" w:fill="F5F5F5"/>
        <w:jc w:val="left"/>
        <w:textAlignment w:val="top"/>
        <w:rPr>
          <w:b/>
          <w:color w:val="333333"/>
          <w:sz w:val="24"/>
          <w:szCs w:val="24"/>
          <w:lang w:val="en-GB"/>
        </w:rPr>
      </w:pPr>
    </w:p>
    <w:p w:rsidR="00B42AAF" w:rsidRPr="00146590" w:rsidRDefault="00B42AAF" w:rsidP="00274DBC">
      <w:pPr>
        <w:shd w:val="clear" w:color="auto" w:fill="F5F5F5"/>
        <w:jc w:val="left"/>
        <w:textAlignment w:val="top"/>
        <w:rPr>
          <w:b/>
          <w:color w:val="333333"/>
          <w:sz w:val="24"/>
          <w:szCs w:val="24"/>
          <w:lang w:val="en-GB"/>
        </w:rPr>
      </w:pPr>
    </w:p>
    <w:p w:rsidR="00B42AAF" w:rsidRPr="00146590" w:rsidRDefault="00B42AAF" w:rsidP="00274DBC">
      <w:pPr>
        <w:shd w:val="clear" w:color="auto" w:fill="F5F5F5"/>
        <w:jc w:val="left"/>
        <w:textAlignment w:val="top"/>
        <w:rPr>
          <w:b/>
          <w:color w:val="333333"/>
          <w:sz w:val="24"/>
          <w:szCs w:val="24"/>
          <w:lang w:val="en-GB"/>
        </w:rPr>
      </w:pPr>
    </w:p>
    <w:p w:rsidR="00B42AAF" w:rsidRPr="00146590" w:rsidRDefault="00B42AAF" w:rsidP="00274DBC">
      <w:pPr>
        <w:shd w:val="clear" w:color="auto" w:fill="F5F5F5"/>
        <w:jc w:val="left"/>
        <w:textAlignment w:val="top"/>
        <w:rPr>
          <w:b/>
          <w:color w:val="333333"/>
          <w:sz w:val="24"/>
          <w:szCs w:val="24"/>
          <w:lang w:val="en-GB"/>
        </w:rPr>
      </w:pPr>
    </w:p>
    <w:p w:rsidR="00B42AAF" w:rsidRPr="00146590" w:rsidRDefault="00B42AAF" w:rsidP="00274DBC">
      <w:pPr>
        <w:shd w:val="clear" w:color="auto" w:fill="F5F5F5"/>
        <w:jc w:val="left"/>
        <w:textAlignment w:val="top"/>
        <w:rPr>
          <w:b/>
          <w:color w:val="333333"/>
          <w:sz w:val="24"/>
          <w:szCs w:val="24"/>
          <w:lang w:val="en-GB"/>
        </w:rPr>
      </w:pPr>
    </w:p>
    <w:p w:rsidR="00B42AAF" w:rsidRPr="00146590" w:rsidRDefault="00B42AAF" w:rsidP="00274DBC">
      <w:pPr>
        <w:shd w:val="clear" w:color="auto" w:fill="F5F5F5"/>
        <w:jc w:val="left"/>
        <w:textAlignment w:val="top"/>
        <w:rPr>
          <w:b/>
          <w:color w:val="333333"/>
          <w:sz w:val="24"/>
          <w:szCs w:val="24"/>
          <w:lang w:val="en-GB"/>
        </w:rPr>
      </w:pPr>
    </w:p>
    <w:p w:rsidR="00B42AAF" w:rsidRPr="00146590" w:rsidRDefault="00B42AAF" w:rsidP="00274DBC">
      <w:pPr>
        <w:shd w:val="clear" w:color="auto" w:fill="F5F5F5"/>
        <w:jc w:val="left"/>
        <w:textAlignment w:val="top"/>
        <w:rPr>
          <w:b/>
          <w:color w:val="333333"/>
          <w:sz w:val="24"/>
          <w:szCs w:val="24"/>
          <w:lang w:val="en-GB"/>
        </w:rPr>
      </w:pPr>
    </w:p>
    <w:p w:rsidR="00E578D3" w:rsidRDefault="00C71730" w:rsidP="00274DBC">
      <w:pPr>
        <w:shd w:val="clear" w:color="auto" w:fill="F5F5F5"/>
        <w:jc w:val="left"/>
        <w:textAlignment w:val="top"/>
        <w:rPr>
          <w:b/>
          <w:color w:val="333333"/>
          <w:sz w:val="24"/>
          <w:szCs w:val="24"/>
          <w:lang w:val="en-GB"/>
        </w:rPr>
      </w:pPr>
      <w:r>
        <w:rPr>
          <w:b/>
          <w:color w:val="333333"/>
          <w:sz w:val="24"/>
          <w:szCs w:val="24"/>
          <w:lang w:val="en-GB"/>
        </w:rPr>
        <w:lastRenderedPageBreak/>
        <w:t>Besides the ESPD, a</w:t>
      </w:r>
      <w:r w:rsidR="00274DBC" w:rsidRPr="00146590">
        <w:rPr>
          <w:b/>
          <w:color w:val="333333"/>
          <w:sz w:val="24"/>
          <w:szCs w:val="24"/>
          <w:lang w:val="en-GB"/>
        </w:rPr>
        <w:t xml:space="preserve">pplicants who apply for admission to the qualification system </w:t>
      </w:r>
      <w:r w:rsidR="00842A34">
        <w:rPr>
          <w:b/>
          <w:color w:val="333333"/>
          <w:sz w:val="24"/>
          <w:szCs w:val="24"/>
          <w:lang w:val="en-GB"/>
        </w:rPr>
        <w:t>are</w:t>
      </w:r>
      <w:r w:rsidR="00146590" w:rsidRPr="00146590">
        <w:rPr>
          <w:b/>
          <w:color w:val="333333"/>
          <w:sz w:val="24"/>
          <w:szCs w:val="24"/>
          <w:lang w:val="en-GB"/>
        </w:rPr>
        <w:t xml:space="preserve"> asked</w:t>
      </w:r>
      <w:r w:rsidR="00E578D3">
        <w:rPr>
          <w:b/>
          <w:color w:val="333333"/>
          <w:sz w:val="24"/>
          <w:szCs w:val="24"/>
          <w:lang w:val="en-GB"/>
        </w:rPr>
        <w:t xml:space="preserve"> to submit a complete information/documentation for the following:</w:t>
      </w:r>
    </w:p>
    <w:p w:rsidR="000730C2" w:rsidRDefault="000730C2" w:rsidP="00B42AAF">
      <w:pPr>
        <w:rPr>
          <w:lang w:val="en-GB"/>
        </w:rPr>
      </w:pPr>
    </w:p>
    <w:p w:rsidR="00170BDA" w:rsidRPr="00170BDA" w:rsidRDefault="001952BE" w:rsidP="00170BDA">
      <w:pPr>
        <w:rPr>
          <w:lang w:val="en-GB"/>
        </w:rPr>
      </w:pPr>
      <w:r>
        <w:rPr>
          <w:lang w:val="en-GB"/>
        </w:rPr>
        <w:t>1</w:t>
      </w:r>
      <w:r w:rsidR="00B42AAF" w:rsidRPr="00146590">
        <w:rPr>
          <w:lang w:val="en-GB"/>
        </w:rPr>
        <w:t>.</w:t>
      </w:r>
      <w:r w:rsidR="00170BDA" w:rsidRPr="00170BDA">
        <w:rPr>
          <w:rFonts w:ascii="LiberationSans" w:eastAsiaTheme="minorHAnsi" w:hAnsi="LiberationSans" w:cs="LiberationSans"/>
          <w:color w:val="0000FF"/>
          <w:sz w:val="20"/>
          <w:lang w:val="en-US" w:eastAsia="en-US"/>
        </w:rPr>
        <w:t xml:space="preserve"> </w:t>
      </w:r>
      <w:r w:rsidR="00170BDA" w:rsidRPr="00170BDA">
        <w:rPr>
          <w:lang w:val="en-GB"/>
        </w:rPr>
        <w:t>The company must be notified as</w:t>
      </w:r>
      <w:r w:rsidR="00170BDA">
        <w:rPr>
          <w:lang w:val="en-GB"/>
        </w:rPr>
        <w:t xml:space="preserve"> </w:t>
      </w:r>
      <w:r w:rsidR="00170BDA" w:rsidRPr="00170BDA">
        <w:rPr>
          <w:lang w:val="en-GB"/>
        </w:rPr>
        <w:t>a NoBo according to the Technical</w:t>
      </w:r>
      <w:r w:rsidR="00170BDA">
        <w:rPr>
          <w:lang w:val="en-GB"/>
        </w:rPr>
        <w:t xml:space="preserve"> </w:t>
      </w:r>
      <w:r w:rsidR="00170BDA" w:rsidRPr="00170BDA">
        <w:rPr>
          <w:lang w:val="en-GB"/>
        </w:rPr>
        <w:t>Specifications for Interoperability</w:t>
      </w:r>
    </w:p>
    <w:p w:rsidR="00B42AAF" w:rsidRDefault="00170BDA" w:rsidP="00170BDA">
      <w:pPr>
        <w:rPr>
          <w:lang w:val="en-GB"/>
        </w:rPr>
      </w:pPr>
      <w:r w:rsidRPr="00170BDA">
        <w:rPr>
          <w:lang w:val="en-GB"/>
        </w:rPr>
        <w:t>(TSI) concerned.</w:t>
      </w:r>
      <w:r w:rsidR="00BB1195">
        <w:rPr>
          <w:lang w:val="en-GB"/>
        </w:rPr>
        <w:t xml:space="preserve"> </w:t>
      </w:r>
    </w:p>
    <w:p w:rsidR="00170BDA" w:rsidRPr="00170BDA" w:rsidRDefault="00170BDA" w:rsidP="00170BDA">
      <w:pPr>
        <w:rPr>
          <w:lang w:val="en-GB"/>
        </w:rPr>
      </w:pPr>
    </w:p>
    <w:p w:rsidR="00291459" w:rsidRDefault="001952BE" w:rsidP="00B42AAF">
      <w:pPr>
        <w:rPr>
          <w:lang w:val="en-GB"/>
        </w:rPr>
      </w:pPr>
      <w:r>
        <w:rPr>
          <w:lang w:val="en-GB"/>
        </w:rPr>
        <w:t>2</w:t>
      </w:r>
      <w:r w:rsidR="00B42AAF" w:rsidRPr="00146590">
        <w:rPr>
          <w:lang w:val="en-GB"/>
        </w:rPr>
        <w:t xml:space="preserve">. The ISA will need an approval from the </w:t>
      </w:r>
      <w:r w:rsidR="00146590" w:rsidRPr="00146590">
        <w:rPr>
          <w:lang w:val="en-GB"/>
        </w:rPr>
        <w:t>N</w:t>
      </w:r>
      <w:r w:rsidR="00B42AAF" w:rsidRPr="00146590">
        <w:rPr>
          <w:lang w:val="en-GB"/>
        </w:rPr>
        <w:t xml:space="preserve">ational </w:t>
      </w:r>
      <w:r w:rsidR="00146590" w:rsidRPr="00146590">
        <w:rPr>
          <w:lang w:val="en-GB"/>
        </w:rPr>
        <w:t>S</w:t>
      </w:r>
      <w:r w:rsidR="00B42AAF" w:rsidRPr="00146590">
        <w:rPr>
          <w:lang w:val="en-GB"/>
        </w:rPr>
        <w:t>afety Authority</w:t>
      </w:r>
      <w:r w:rsidR="00146590" w:rsidRPr="00146590">
        <w:rPr>
          <w:lang w:val="en-GB"/>
        </w:rPr>
        <w:t xml:space="preserve"> (NSA)</w:t>
      </w:r>
      <w:r w:rsidR="00B42AAF" w:rsidRPr="00146590">
        <w:rPr>
          <w:lang w:val="en-GB"/>
        </w:rPr>
        <w:t xml:space="preserve"> for each specific task, which might be awarded to the ISA, where the ISA shall demonstrate that it </w:t>
      </w:r>
      <w:r w:rsidR="00146590" w:rsidRPr="00146590">
        <w:rPr>
          <w:lang w:val="en-GB"/>
        </w:rPr>
        <w:t>fulfil</w:t>
      </w:r>
      <w:r w:rsidR="00615AF0" w:rsidRPr="00615AF0">
        <w:rPr>
          <w:lang w:val="en-GB"/>
        </w:rPr>
        <w:t xml:space="preserve"> the requirements described in Commission </w:t>
      </w:r>
      <w:r w:rsidR="00291459">
        <w:rPr>
          <w:lang w:val="en-GB"/>
        </w:rPr>
        <w:t>Implementing Regulation (EU) No. 402/2013 on the common safety method for risk evaluation and assessment and repealing Regulation (EC) No. 352/2009, annex II – amended at the Commission Regulation (EU) No. 2015/1136.</w:t>
      </w:r>
    </w:p>
    <w:p w:rsidR="00B42AAF" w:rsidRPr="00146590" w:rsidRDefault="00B42AAF" w:rsidP="00B42AAF">
      <w:pPr>
        <w:rPr>
          <w:lang w:val="en-GB"/>
        </w:rPr>
      </w:pPr>
    </w:p>
    <w:p w:rsidR="00B42AAF" w:rsidRPr="00146590" w:rsidRDefault="001952BE" w:rsidP="00B42AAF">
      <w:pPr>
        <w:rPr>
          <w:lang w:val="en-GB"/>
        </w:rPr>
      </w:pPr>
      <w:r>
        <w:rPr>
          <w:lang w:val="en-GB"/>
        </w:rPr>
        <w:t>3</w:t>
      </w:r>
      <w:r w:rsidR="00615AF0" w:rsidRPr="00615AF0">
        <w:rPr>
          <w:lang w:val="en-GB"/>
        </w:rPr>
        <w:t>. Experience with similar tasks as ISA and NoBo.</w:t>
      </w:r>
    </w:p>
    <w:p w:rsidR="00B42AAF" w:rsidRPr="00146590" w:rsidRDefault="00B42AAF" w:rsidP="00B42AAF">
      <w:pPr>
        <w:rPr>
          <w:lang w:val="en-GB"/>
        </w:rPr>
      </w:pPr>
    </w:p>
    <w:p w:rsidR="004D758A" w:rsidRDefault="001952BE" w:rsidP="00B42AAF">
      <w:pPr>
        <w:rPr>
          <w:lang w:val="en-GB"/>
        </w:rPr>
      </w:pPr>
      <w:r>
        <w:rPr>
          <w:lang w:val="en-GB"/>
        </w:rPr>
        <w:t>4</w:t>
      </w:r>
      <w:r w:rsidR="00615AF0" w:rsidRPr="00615AF0">
        <w:rPr>
          <w:lang w:val="en-GB"/>
        </w:rPr>
        <w:t xml:space="preserve">. </w:t>
      </w:r>
      <w:r w:rsidR="00D766E2" w:rsidRPr="00D766E2">
        <w:rPr>
          <w:lang w:val="en-GB"/>
        </w:rPr>
        <w:t xml:space="preserve">A statement of the applicant’s key economic figures. A form for this statement can be found in the guidance for application on </w:t>
      </w:r>
      <w:proofErr w:type="spellStart"/>
      <w:r w:rsidR="00D766E2" w:rsidRPr="00D766E2">
        <w:rPr>
          <w:lang w:val="en-GB"/>
        </w:rPr>
        <w:t>Banedanmark’s</w:t>
      </w:r>
      <w:proofErr w:type="spellEnd"/>
      <w:r w:rsidR="00D766E2" w:rsidRPr="00D766E2">
        <w:rPr>
          <w:lang w:val="en-GB"/>
        </w:rPr>
        <w:t xml:space="preserve"> website: </w:t>
      </w:r>
      <w:hyperlink r:id="rId9" w:history="1">
        <w:r>
          <w:rPr>
            <w:rStyle w:val="Hyperlink"/>
            <w:lang w:val="en-US"/>
          </w:rPr>
          <w:t>link to website</w:t>
        </w:r>
      </w:hyperlink>
      <w:r w:rsidR="00D766E2" w:rsidRPr="00D766E2">
        <w:rPr>
          <w:lang w:val="en-GB"/>
        </w:rPr>
        <w:t>. Banedanmark reserves the right to later require the applicant's latest audited accounts incl. income statement and balance.</w:t>
      </w:r>
    </w:p>
    <w:p w:rsidR="00D766E2" w:rsidRPr="00D766E2" w:rsidRDefault="00D766E2" w:rsidP="00B42AAF">
      <w:pPr>
        <w:rPr>
          <w:lang w:val="en-GB"/>
        </w:rPr>
      </w:pPr>
    </w:p>
    <w:p w:rsidR="00B42AAF" w:rsidRPr="00146590" w:rsidRDefault="001952BE" w:rsidP="00B42AAF">
      <w:pPr>
        <w:rPr>
          <w:lang w:val="en-GB"/>
        </w:rPr>
      </w:pPr>
      <w:r>
        <w:rPr>
          <w:lang w:val="en-GB"/>
        </w:rPr>
        <w:t>5</w:t>
      </w:r>
      <w:r w:rsidR="00615AF0" w:rsidRPr="00615AF0">
        <w:rPr>
          <w:lang w:val="en-GB"/>
        </w:rPr>
        <w:t>. A short description of the firm/company and the organi</w:t>
      </w:r>
      <w:r w:rsidR="00146590">
        <w:rPr>
          <w:lang w:val="en-GB"/>
        </w:rPr>
        <w:t>s</w:t>
      </w:r>
      <w:r w:rsidR="00615AF0" w:rsidRPr="00615AF0">
        <w:rPr>
          <w:lang w:val="en-GB"/>
        </w:rPr>
        <w:t>ation of the applicant (including a description of the ownership structure)</w:t>
      </w:r>
    </w:p>
    <w:p w:rsidR="00B42AAF" w:rsidRPr="00146590" w:rsidRDefault="00B42AAF" w:rsidP="00B42AAF">
      <w:pPr>
        <w:rPr>
          <w:lang w:val="en-GB"/>
        </w:rPr>
      </w:pPr>
    </w:p>
    <w:p w:rsidR="00274DBC" w:rsidRDefault="001952BE" w:rsidP="00B42AAF">
      <w:pPr>
        <w:rPr>
          <w:lang w:val="en-GB"/>
        </w:rPr>
      </w:pPr>
      <w:r>
        <w:rPr>
          <w:lang w:val="en-GB"/>
        </w:rPr>
        <w:t>6</w:t>
      </w:r>
      <w:r w:rsidR="00615AF0" w:rsidRPr="00615AF0">
        <w:rPr>
          <w:lang w:val="en-GB"/>
        </w:rPr>
        <w:t xml:space="preserve">. If the applicant relies on the capacities of other legal entities (e.g. a parent company or consortium), the applicant must submit the documentation mentioned in </w:t>
      </w:r>
      <w:r w:rsidR="00635860">
        <w:rPr>
          <w:lang w:val="en-GB"/>
        </w:rPr>
        <w:t>1</w:t>
      </w:r>
      <w:r w:rsidR="00615AF0" w:rsidRPr="00615AF0">
        <w:rPr>
          <w:lang w:val="en-GB"/>
        </w:rPr>
        <w:t>-</w:t>
      </w:r>
      <w:r w:rsidR="00635860">
        <w:rPr>
          <w:lang w:val="en-GB"/>
        </w:rPr>
        <w:t>5 (5</w:t>
      </w:r>
      <w:r w:rsidR="003C313C">
        <w:rPr>
          <w:lang w:val="en-GB"/>
        </w:rPr>
        <w:t>=economic figures)</w:t>
      </w:r>
      <w:r w:rsidR="00615AF0" w:rsidRPr="00615AF0">
        <w:rPr>
          <w:lang w:val="en-GB"/>
        </w:rPr>
        <w:t xml:space="preserve"> from all the involved parties.</w:t>
      </w:r>
      <w:r w:rsidR="00A044AC">
        <w:rPr>
          <w:lang w:val="en-GB"/>
        </w:rPr>
        <w:t xml:space="preserve"> </w:t>
      </w:r>
      <w:r w:rsidR="00667492">
        <w:rPr>
          <w:lang w:val="en-GB"/>
        </w:rPr>
        <w:t>Each company in a consortium has to fill out an ESPD.</w:t>
      </w:r>
    </w:p>
    <w:p w:rsidR="00667492" w:rsidRDefault="00667492" w:rsidP="00B42AAF">
      <w:pPr>
        <w:rPr>
          <w:lang w:val="en-GB"/>
        </w:rPr>
      </w:pPr>
    </w:p>
    <w:p w:rsidR="00A82A02" w:rsidRPr="00146590" w:rsidRDefault="00A82A02">
      <w:pPr>
        <w:rPr>
          <w:b/>
          <w:lang w:val="en-GB"/>
        </w:rPr>
      </w:pPr>
    </w:p>
    <w:p w:rsidR="00985D42" w:rsidRDefault="00985D42">
      <w:pPr>
        <w:rPr>
          <w:b/>
          <w:lang w:val="en-GB"/>
        </w:rPr>
      </w:pPr>
    </w:p>
    <w:p w:rsidR="00985D42" w:rsidRDefault="00985D42">
      <w:pPr>
        <w:rPr>
          <w:b/>
          <w:lang w:val="en-GB"/>
        </w:rPr>
      </w:pPr>
      <w:r>
        <w:rPr>
          <w:b/>
          <w:lang w:val="en-GB"/>
        </w:rPr>
        <w:t>Comments:</w:t>
      </w:r>
    </w:p>
    <w:p w:rsidR="000730C2" w:rsidRPr="000730C2" w:rsidRDefault="000730C2">
      <w:pPr>
        <w:rPr>
          <w:lang w:val="en-GB"/>
        </w:rPr>
      </w:pPr>
    </w:p>
    <w:p w:rsidR="00B42AAF" w:rsidRDefault="00D63CB1" w:rsidP="00B42AAF">
      <w:pPr>
        <w:rPr>
          <w:lang w:val="en-GB"/>
        </w:rPr>
      </w:pPr>
      <w:r>
        <w:rPr>
          <w:lang w:val="en-GB"/>
        </w:rPr>
        <w:t xml:space="preserve">Re. </w:t>
      </w:r>
      <w:r w:rsidR="001952BE">
        <w:rPr>
          <w:lang w:val="en-GB"/>
        </w:rPr>
        <w:t>1</w:t>
      </w:r>
      <w:r w:rsidR="00842A34">
        <w:rPr>
          <w:lang w:val="en-GB"/>
        </w:rPr>
        <w:t>)</w:t>
      </w:r>
      <w:r>
        <w:rPr>
          <w:lang w:val="en-GB"/>
        </w:rPr>
        <w:t xml:space="preserve"> The applicant shall submit documentation for its notifications.</w:t>
      </w:r>
    </w:p>
    <w:p w:rsidR="001952BE" w:rsidRPr="00146590" w:rsidRDefault="001952BE" w:rsidP="00B42AAF">
      <w:pPr>
        <w:rPr>
          <w:lang w:val="en-GB"/>
        </w:rPr>
      </w:pPr>
    </w:p>
    <w:p w:rsidR="00B42AAF" w:rsidRPr="00146590" w:rsidRDefault="00615AF0" w:rsidP="00B42AAF">
      <w:pPr>
        <w:rPr>
          <w:lang w:val="en-GB"/>
        </w:rPr>
      </w:pPr>
      <w:r w:rsidRPr="00615AF0">
        <w:rPr>
          <w:lang w:val="en-GB"/>
        </w:rPr>
        <w:t xml:space="preserve">Re. </w:t>
      </w:r>
      <w:r w:rsidR="001952BE">
        <w:rPr>
          <w:lang w:val="en-GB"/>
        </w:rPr>
        <w:t>2</w:t>
      </w:r>
      <w:r w:rsidRPr="00615AF0">
        <w:rPr>
          <w:lang w:val="en-GB"/>
        </w:rPr>
        <w:t xml:space="preserve">) The applicant shall demonstrate that it can </w:t>
      </w:r>
      <w:r w:rsidR="00146590" w:rsidRPr="00146590">
        <w:rPr>
          <w:lang w:val="en-GB"/>
        </w:rPr>
        <w:t>fulfil</w:t>
      </w:r>
      <w:r w:rsidRPr="00615AF0">
        <w:rPr>
          <w:lang w:val="en-GB"/>
        </w:rPr>
        <w:t xml:space="preserve"> the requirements described </w:t>
      </w:r>
      <w:r w:rsidR="00667492">
        <w:rPr>
          <w:lang w:val="en-GB"/>
        </w:rPr>
        <w:t>in the Regulation</w:t>
      </w:r>
      <w:r w:rsidRPr="00615AF0">
        <w:rPr>
          <w:lang w:val="en-GB"/>
        </w:rPr>
        <w:t>, annex II</w:t>
      </w:r>
      <w:r w:rsidR="001952BE">
        <w:rPr>
          <w:lang w:val="en-GB"/>
        </w:rPr>
        <w:t>.</w:t>
      </w:r>
    </w:p>
    <w:p w:rsidR="00B42AAF" w:rsidRDefault="00B42AAF" w:rsidP="00B42AAF">
      <w:pPr>
        <w:rPr>
          <w:lang w:val="en-GB"/>
        </w:rPr>
      </w:pPr>
    </w:p>
    <w:p w:rsidR="001952BE" w:rsidRDefault="00685CE8" w:rsidP="001952BE">
      <w:pPr>
        <w:rPr>
          <w:lang w:val="en-GB"/>
        </w:rPr>
      </w:pPr>
      <w:r>
        <w:rPr>
          <w:lang w:val="en-GB"/>
        </w:rPr>
        <w:t>The applicant</w:t>
      </w:r>
      <w:r w:rsidR="001952BE">
        <w:rPr>
          <w:lang w:val="en-GB"/>
        </w:rPr>
        <w:t xml:space="preserve"> has to submit the accreditation</w:t>
      </w:r>
      <w:r w:rsidRPr="00685CE8">
        <w:rPr>
          <w:lang w:val="en-GB"/>
        </w:rPr>
        <w:t xml:space="preserve"> </w:t>
      </w:r>
      <w:r>
        <w:rPr>
          <w:lang w:val="en-GB"/>
        </w:rPr>
        <w:t>if the applicant is accredited</w:t>
      </w:r>
      <w:r w:rsidR="001952BE">
        <w:rPr>
          <w:lang w:val="en-GB"/>
        </w:rPr>
        <w:t xml:space="preserve">. </w:t>
      </w:r>
      <w:r>
        <w:rPr>
          <w:lang w:val="en-GB"/>
        </w:rPr>
        <w:t>T</w:t>
      </w:r>
      <w:r w:rsidR="001952BE">
        <w:rPr>
          <w:lang w:val="en-GB"/>
        </w:rPr>
        <w:t>he applicant need</w:t>
      </w:r>
      <w:r>
        <w:rPr>
          <w:lang w:val="en-GB"/>
        </w:rPr>
        <w:t>s</w:t>
      </w:r>
      <w:r w:rsidR="001952BE">
        <w:rPr>
          <w:lang w:val="en-GB"/>
        </w:rPr>
        <w:t xml:space="preserve"> an </w:t>
      </w:r>
      <w:r>
        <w:rPr>
          <w:lang w:val="en-GB"/>
        </w:rPr>
        <w:t>approval for each specific task</w:t>
      </w:r>
      <w:r w:rsidR="001952BE">
        <w:rPr>
          <w:lang w:val="en-GB"/>
        </w:rPr>
        <w:t xml:space="preserve"> </w:t>
      </w:r>
      <w:r>
        <w:rPr>
          <w:lang w:val="en-GB"/>
        </w:rPr>
        <w:t>if the applicant is not accredited.</w:t>
      </w:r>
    </w:p>
    <w:p w:rsidR="001952BE" w:rsidRDefault="001952BE" w:rsidP="001952BE">
      <w:pPr>
        <w:rPr>
          <w:lang w:val="en-GB"/>
        </w:rPr>
      </w:pPr>
      <w:r>
        <w:rPr>
          <w:lang w:val="en-GB"/>
        </w:rPr>
        <w:t>The applicant has to state which tasks it is able to execute.</w:t>
      </w:r>
    </w:p>
    <w:p w:rsidR="00346F8F" w:rsidRDefault="00346F8F" w:rsidP="001952BE">
      <w:pPr>
        <w:rPr>
          <w:lang w:val="en-GB"/>
        </w:rPr>
      </w:pPr>
    </w:p>
    <w:p w:rsidR="00346F8F" w:rsidRPr="00291459" w:rsidRDefault="00346F8F" w:rsidP="001952BE">
      <w:pPr>
        <w:rPr>
          <w:lang w:val="en-US"/>
        </w:rPr>
      </w:pPr>
      <w:r>
        <w:rPr>
          <w:lang w:val="en-GB"/>
        </w:rPr>
        <w:t xml:space="preserve">Re. 3) The applicant </w:t>
      </w:r>
      <w:proofErr w:type="gramStart"/>
      <w:r>
        <w:rPr>
          <w:lang w:val="en-GB"/>
        </w:rPr>
        <w:t>has to</w:t>
      </w:r>
      <w:proofErr w:type="gramEnd"/>
      <w:r>
        <w:rPr>
          <w:lang w:val="en-GB"/>
        </w:rPr>
        <w:t xml:space="preserve"> give information about the most considerable tasks in the last three years. The applicant is free to choose between giving the references in the ESPD or as a list enclosed in the application.</w:t>
      </w:r>
    </w:p>
    <w:p w:rsidR="001952BE" w:rsidRPr="001952BE" w:rsidRDefault="001952BE" w:rsidP="00B42AAF">
      <w:pPr>
        <w:rPr>
          <w:lang w:val="en-US"/>
        </w:rPr>
      </w:pPr>
    </w:p>
    <w:p w:rsidR="00D766E2" w:rsidRPr="00D766E2" w:rsidRDefault="00615AF0" w:rsidP="00A82A02">
      <w:pPr>
        <w:rPr>
          <w:lang w:val="en-GB"/>
        </w:rPr>
      </w:pPr>
      <w:r w:rsidRPr="00615AF0">
        <w:rPr>
          <w:lang w:val="en-GB"/>
        </w:rPr>
        <w:t xml:space="preserve">Re. </w:t>
      </w:r>
      <w:r w:rsidR="001952BE">
        <w:rPr>
          <w:lang w:val="en-GB"/>
        </w:rPr>
        <w:t>4</w:t>
      </w:r>
      <w:r w:rsidRPr="00615AF0">
        <w:rPr>
          <w:lang w:val="en-GB"/>
        </w:rPr>
        <w:t xml:space="preserve">) </w:t>
      </w:r>
      <w:r w:rsidR="00D766E2" w:rsidRPr="00D766E2">
        <w:rPr>
          <w:lang w:val="en-GB"/>
        </w:rPr>
        <w:t>The information must be confirmed by the applicant, with signature and stamp.</w:t>
      </w:r>
      <w:r w:rsidR="00C14804">
        <w:rPr>
          <w:lang w:val="en-GB"/>
        </w:rPr>
        <w:t xml:space="preserve"> The applicant has to inform of turnover, </w:t>
      </w:r>
      <w:r w:rsidR="00CF407E">
        <w:rPr>
          <w:lang w:val="en-GB"/>
        </w:rPr>
        <w:t xml:space="preserve">return </w:t>
      </w:r>
      <w:proofErr w:type="spellStart"/>
      <w:proofErr w:type="gramStart"/>
      <w:r w:rsidR="00CF407E">
        <w:rPr>
          <w:lang w:val="en-GB"/>
        </w:rPr>
        <w:t>non</w:t>
      </w:r>
      <w:proofErr w:type="spellEnd"/>
      <w:r w:rsidR="00CF407E">
        <w:rPr>
          <w:lang w:val="en-GB"/>
        </w:rPr>
        <w:t xml:space="preserve"> assets</w:t>
      </w:r>
      <w:proofErr w:type="gramEnd"/>
      <w:r w:rsidR="00C14804">
        <w:rPr>
          <w:lang w:val="en-GB"/>
        </w:rPr>
        <w:t xml:space="preserve">, return </w:t>
      </w:r>
      <w:proofErr w:type="spellStart"/>
      <w:r w:rsidR="00CF407E">
        <w:rPr>
          <w:lang w:val="en-GB"/>
        </w:rPr>
        <w:t>n</w:t>
      </w:r>
      <w:r w:rsidR="00C14804">
        <w:rPr>
          <w:lang w:val="en-GB"/>
        </w:rPr>
        <w:t>on equity</w:t>
      </w:r>
      <w:proofErr w:type="spellEnd"/>
      <w:r w:rsidR="00C14804">
        <w:rPr>
          <w:lang w:val="en-GB"/>
        </w:rPr>
        <w:t xml:space="preserve">, </w:t>
      </w:r>
      <w:r w:rsidR="00B775A4">
        <w:rPr>
          <w:lang w:val="en-GB"/>
        </w:rPr>
        <w:t>operating m</w:t>
      </w:r>
      <w:r w:rsidR="00CF407E">
        <w:rPr>
          <w:lang w:val="en-GB"/>
        </w:rPr>
        <w:t>argin</w:t>
      </w:r>
      <w:r w:rsidR="00C14804">
        <w:rPr>
          <w:lang w:val="en-GB"/>
        </w:rPr>
        <w:t>, asset turnover, and equity ratio. The key figures can be given in either the ESPD or the form below. Information about the calculation of the key figures is written below the form.</w:t>
      </w:r>
    </w:p>
    <w:p w:rsidR="00D766E2" w:rsidRDefault="00D766E2" w:rsidP="00A82A02">
      <w:pPr>
        <w:rPr>
          <w:lang w:val="en-GB"/>
        </w:rPr>
      </w:pPr>
    </w:p>
    <w:p w:rsidR="008A288B" w:rsidRDefault="008A288B" w:rsidP="00A82A02">
      <w:pPr>
        <w:rPr>
          <w:lang w:val="en-GB"/>
        </w:rPr>
      </w:pPr>
    </w:p>
    <w:p w:rsidR="008A288B" w:rsidRDefault="008A288B" w:rsidP="00A82A02">
      <w:pPr>
        <w:rPr>
          <w:lang w:val="en-GB"/>
        </w:rPr>
      </w:pPr>
    </w:p>
    <w:p w:rsidR="008A288B" w:rsidRPr="00D766E2" w:rsidRDefault="008A288B" w:rsidP="00A82A02">
      <w:pPr>
        <w:rPr>
          <w:lang w:val="en-GB"/>
        </w:rPr>
      </w:pPr>
      <w:bookmarkStart w:id="0" w:name="_GoBack"/>
      <w:bookmarkEnd w:id="0"/>
    </w:p>
    <w:p w:rsidR="00A82A02" w:rsidRPr="00146590" w:rsidRDefault="00A82A02" w:rsidP="00A82A02">
      <w:pPr>
        <w:rPr>
          <w:b/>
          <w:szCs w:val="22"/>
          <w:lang w:val="en-GB"/>
        </w:rPr>
      </w:pPr>
    </w:p>
    <w:p w:rsidR="00A82A02" w:rsidRPr="00146590" w:rsidRDefault="00615AF0" w:rsidP="00A82A02">
      <w:pPr>
        <w:rPr>
          <w:b/>
          <w:sz w:val="28"/>
          <w:szCs w:val="28"/>
          <w:lang w:val="en-GB"/>
        </w:rPr>
      </w:pPr>
      <w:r w:rsidRPr="00615AF0">
        <w:rPr>
          <w:b/>
          <w:sz w:val="28"/>
          <w:szCs w:val="28"/>
          <w:lang w:val="en-GB"/>
        </w:rPr>
        <w:lastRenderedPageBreak/>
        <w:t>Key figures</w:t>
      </w:r>
    </w:p>
    <w:p w:rsidR="00A82A02" w:rsidRPr="00146590" w:rsidRDefault="00615AF0" w:rsidP="00A82A02">
      <w:pPr>
        <w:rPr>
          <w:b/>
          <w:sz w:val="28"/>
          <w:szCs w:val="28"/>
          <w:lang w:val="en-GB"/>
        </w:rPr>
      </w:pPr>
      <w:r w:rsidRPr="00615AF0">
        <w:rPr>
          <w:b/>
          <w:lang w:val="en-GB"/>
        </w:rPr>
        <w:t xml:space="preserve">Amount in DDK </w:t>
      </w:r>
      <w:r w:rsidRPr="00615AF0">
        <w:rPr>
          <w:b/>
          <w:lang w:val="en-GB"/>
        </w:rPr>
        <w:tab/>
      </w:r>
      <w:r w:rsidRPr="00615AF0">
        <w:rPr>
          <w:b/>
          <w:lang w:val="en-GB"/>
        </w:rPr>
        <w:tab/>
        <w:t xml:space="preserve">     20xx</w:t>
      </w:r>
      <w:r w:rsidRPr="00615AF0">
        <w:rPr>
          <w:b/>
          <w:lang w:val="en-GB"/>
        </w:rPr>
        <w:tab/>
        <w:t xml:space="preserve">        20xx   </w:t>
      </w:r>
      <w:r w:rsidRPr="00615AF0">
        <w:rPr>
          <w:b/>
          <w:lang w:val="en-GB"/>
        </w:rPr>
        <w:tab/>
        <w:t xml:space="preserve">           20xx</w:t>
      </w:r>
      <w:r w:rsidR="00150EA2">
        <w:rPr>
          <w:lang w:val="en-GB"/>
        </w:rPr>
        <w:pict>
          <v:rect id="_x0000_i1025" style="width:0;height:1.5pt" o:hralign="center" o:hrstd="t" o:hr="t" fillcolor="gray" stroked="f"/>
        </w:pict>
      </w:r>
    </w:p>
    <w:p w:rsidR="00A82A02" w:rsidRPr="00146590" w:rsidRDefault="00A82A02" w:rsidP="00A82A02">
      <w:pPr>
        <w:rPr>
          <w:b/>
          <w:sz w:val="28"/>
          <w:szCs w:val="28"/>
          <w:lang w:val="en-GB"/>
        </w:rPr>
      </w:pPr>
      <w:r w:rsidRPr="00146590">
        <w:rPr>
          <w:b/>
          <w:sz w:val="28"/>
          <w:szCs w:val="28"/>
          <w:lang w:val="en-GB"/>
        </w:rPr>
        <w:t>Result</w:t>
      </w:r>
    </w:p>
    <w:p w:rsidR="00A82A02" w:rsidRPr="00146590" w:rsidRDefault="00A82A02" w:rsidP="00A82A02">
      <w:pPr>
        <w:rPr>
          <w:lang w:val="en-GB"/>
        </w:rPr>
      </w:pPr>
      <w:r w:rsidRPr="00146590">
        <w:rPr>
          <w:lang w:val="en-GB"/>
        </w:rPr>
        <w:t xml:space="preserve">Turnover </w:t>
      </w:r>
      <w:r w:rsidRPr="00146590">
        <w:rPr>
          <w:lang w:val="en-GB"/>
        </w:rPr>
        <w:tab/>
      </w:r>
      <w:r w:rsidRPr="00146590">
        <w:rPr>
          <w:lang w:val="en-GB"/>
        </w:rPr>
        <w:tab/>
      </w:r>
      <w:r w:rsidRPr="00146590">
        <w:rPr>
          <w:lang w:val="en-GB"/>
        </w:rPr>
        <w:tab/>
        <w:t xml:space="preserve">       xx</w:t>
      </w:r>
      <w:r w:rsidRPr="00146590">
        <w:rPr>
          <w:lang w:val="en-GB"/>
        </w:rPr>
        <w:tab/>
        <w:t xml:space="preserve">          xx</w:t>
      </w:r>
      <w:r w:rsidRPr="00146590">
        <w:rPr>
          <w:lang w:val="en-GB"/>
        </w:rPr>
        <w:tab/>
        <w:t xml:space="preserve">            xx</w:t>
      </w:r>
    </w:p>
    <w:p w:rsidR="00A82A02" w:rsidRPr="00146590" w:rsidRDefault="00A82A02" w:rsidP="00A82A02">
      <w:pPr>
        <w:rPr>
          <w:lang w:val="en-GB"/>
        </w:rPr>
      </w:pPr>
    </w:p>
    <w:p w:rsidR="00A82A02" w:rsidRPr="00146590" w:rsidRDefault="00A82A02" w:rsidP="00A82A02">
      <w:pPr>
        <w:ind w:left="1304" w:hanging="1304"/>
        <w:rPr>
          <w:lang w:val="en-GB"/>
        </w:rPr>
      </w:pPr>
      <w:r w:rsidRPr="00146590">
        <w:rPr>
          <w:lang w:val="en-GB"/>
        </w:rPr>
        <w:tab/>
      </w:r>
    </w:p>
    <w:p w:rsidR="00A82A02" w:rsidRPr="00146590" w:rsidRDefault="00A82A02" w:rsidP="00A82A02">
      <w:pPr>
        <w:rPr>
          <w:b/>
          <w:lang w:val="en-GB"/>
        </w:rPr>
      </w:pPr>
      <w:r w:rsidRPr="00146590">
        <w:rPr>
          <w:b/>
          <w:sz w:val="28"/>
          <w:szCs w:val="28"/>
          <w:lang w:val="en-GB"/>
        </w:rPr>
        <w:t>Key</w:t>
      </w:r>
      <w:r w:rsidR="00146590" w:rsidRPr="00146590">
        <w:rPr>
          <w:b/>
          <w:sz w:val="28"/>
          <w:szCs w:val="28"/>
          <w:lang w:val="en-GB"/>
        </w:rPr>
        <w:t xml:space="preserve"> </w:t>
      </w:r>
      <w:r w:rsidRPr="00146590">
        <w:rPr>
          <w:b/>
          <w:sz w:val="28"/>
          <w:szCs w:val="28"/>
          <w:lang w:val="en-GB"/>
        </w:rPr>
        <w:t>figures</w:t>
      </w:r>
      <w:r w:rsidRPr="00146590">
        <w:rPr>
          <w:lang w:val="en-GB"/>
        </w:rPr>
        <w:tab/>
      </w:r>
      <w:r w:rsidRPr="00146590">
        <w:rPr>
          <w:lang w:val="en-GB"/>
        </w:rPr>
        <w:tab/>
        <w:t xml:space="preserve">     </w:t>
      </w:r>
      <w:r w:rsidRPr="00146590">
        <w:rPr>
          <w:b/>
          <w:lang w:val="en-GB"/>
        </w:rPr>
        <w:t>20xx</w:t>
      </w:r>
      <w:r w:rsidRPr="00146590">
        <w:rPr>
          <w:b/>
          <w:lang w:val="en-GB"/>
        </w:rPr>
        <w:tab/>
        <w:t xml:space="preserve">        20xx</w:t>
      </w:r>
      <w:r w:rsidRPr="00146590">
        <w:rPr>
          <w:b/>
          <w:lang w:val="en-GB"/>
        </w:rPr>
        <w:tab/>
        <w:t xml:space="preserve">           20xx</w:t>
      </w:r>
    </w:p>
    <w:p w:rsidR="00A82A02" w:rsidRPr="00146590" w:rsidRDefault="00150EA2" w:rsidP="00A82A02">
      <w:pPr>
        <w:rPr>
          <w:lang w:val="en-GB"/>
        </w:rPr>
      </w:pPr>
      <w:r>
        <w:rPr>
          <w:lang w:val="en-GB"/>
        </w:rPr>
        <w:pict>
          <v:rect id="_x0000_i1026" style="width:0;height:1.5pt" o:hralign="center" o:hrstd="t" o:hr="t" fillcolor="gray" stroked="f"/>
        </w:pict>
      </w:r>
    </w:p>
    <w:p w:rsidR="00A82A02" w:rsidRPr="00146590" w:rsidRDefault="00A82A02" w:rsidP="00A82A02">
      <w:pPr>
        <w:rPr>
          <w:b/>
          <w:sz w:val="28"/>
          <w:szCs w:val="28"/>
          <w:lang w:val="en-GB"/>
        </w:rPr>
      </w:pPr>
      <w:r w:rsidRPr="00146590">
        <w:rPr>
          <w:b/>
          <w:sz w:val="28"/>
          <w:szCs w:val="28"/>
          <w:lang w:val="en-GB"/>
        </w:rPr>
        <w:t>Profitability</w:t>
      </w:r>
    </w:p>
    <w:p w:rsidR="00A82A02" w:rsidRPr="00146590" w:rsidRDefault="00A82A02" w:rsidP="00A82A02">
      <w:pPr>
        <w:rPr>
          <w:lang w:val="en-GB"/>
        </w:rPr>
      </w:pPr>
      <w:r w:rsidRPr="00146590">
        <w:rPr>
          <w:lang w:val="en-GB"/>
        </w:rPr>
        <w:t>Retur</w:t>
      </w:r>
      <w:r w:rsidR="00146590">
        <w:rPr>
          <w:lang w:val="en-GB"/>
        </w:rPr>
        <w:t>n</w:t>
      </w:r>
      <w:r w:rsidRPr="00146590">
        <w:rPr>
          <w:lang w:val="en-GB"/>
        </w:rPr>
        <w:t xml:space="preserve"> non equity</w:t>
      </w:r>
      <w:r w:rsidRPr="00146590">
        <w:rPr>
          <w:lang w:val="en-GB"/>
        </w:rPr>
        <w:tab/>
      </w:r>
      <w:r w:rsidRPr="00146590">
        <w:rPr>
          <w:lang w:val="en-GB"/>
        </w:rPr>
        <w:tab/>
        <w:t xml:space="preserve">      xx %</w:t>
      </w:r>
      <w:r w:rsidRPr="00146590">
        <w:rPr>
          <w:lang w:val="en-GB"/>
        </w:rPr>
        <w:tab/>
        <w:t xml:space="preserve">        xx %</w:t>
      </w:r>
      <w:r w:rsidRPr="00146590">
        <w:rPr>
          <w:lang w:val="en-GB"/>
        </w:rPr>
        <w:tab/>
        <w:t xml:space="preserve">           xx %</w:t>
      </w:r>
    </w:p>
    <w:p w:rsidR="00A82A02" w:rsidRPr="00146590" w:rsidRDefault="00150EA2" w:rsidP="00A82A02">
      <w:pPr>
        <w:rPr>
          <w:lang w:val="en-GB"/>
        </w:rPr>
      </w:pPr>
      <w:r>
        <w:rPr>
          <w:lang w:val="en-GB"/>
        </w:rPr>
        <w:pict>
          <v:rect id="_x0000_i1027" style="width:0;height:1.5pt" o:hralign="center" o:hrstd="t" o:hr="t" fillcolor="gray" stroked="f"/>
        </w:pict>
      </w:r>
    </w:p>
    <w:p w:rsidR="00A82A02" w:rsidRPr="00146590" w:rsidRDefault="00A82A02" w:rsidP="00A82A02">
      <w:pPr>
        <w:rPr>
          <w:lang w:val="en-GB"/>
        </w:rPr>
      </w:pPr>
      <w:r w:rsidRPr="00146590">
        <w:rPr>
          <w:lang w:val="en-GB"/>
        </w:rPr>
        <w:t>Retur</w:t>
      </w:r>
      <w:r w:rsidR="00146590">
        <w:rPr>
          <w:lang w:val="en-GB"/>
        </w:rPr>
        <w:t>n</w:t>
      </w:r>
      <w:r w:rsidRPr="00146590">
        <w:rPr>
          <w:lang w:val="en-GB"/>
        </w:rPr>
        <w:t xml:space="preserve"> non assets</w:t>
      </w:r>
      <w:r w:rsidRPr="00146590">
        <w:rPr>
          <w:lang w:val="en-GB"/>
        </w:rPr>
        <w:tab/>
      </w:r>
      <w:r w:rsidRPr="00146590">
        <w:rPr>
          <w:lang w:val="en-GB"/>
        </w:rPr>
        <w:tab/>
        <w:t xml:space="preserve">      xx %</w:t>
      </w:r>
      <w:r w:rsidRPr="00146590">
        <w:rPr>
          <w:lang w:val="en-GB"/>
        </w:rPr>
        <w:tab/>
        <w:t xml:space="preserve">        xx %</w:t>
      </w:r>
      <w:r w:rsidRPr="00146590">
        <w:rPr>
          <w:lang w:val="en-GB"/>
        </w:rPr>
        <w:tab/>
        <w:t xml:space="preserve">          xx %</w:t>
      </w:r>
    </w:p>
    <w:p w:rsidR="00A82A02" w:rsidRPr="00146590" w:rsidRDefault="00150EA2" w:rsidP="00A82A02">
      <w:pPr>
        <w:rPr>
          <w:lang w:val="en-GB"/>
        </w:rPr>
      </w:pPr>
      <w:r>
        <w:rPr>
          <w:lang w:val="en-GB"/>
        </w:rPr>
        <w:pict>
          <v:rect id="_x0000_i1028" style="width:0;height:1.5pt" o:hralign="center" o:hrstd="t" o:hr="t" fillcolor="gray" stroked="f"/>
        </w:pict>
      </w:r>
    </w:p>
    <w:p w:rsidR="00A82A02" w:rsidRPr="00146590" w:rsidRDefault="00DB7B57" w:rsidP="00A82A02">
      <w:pPr>
        <w:rPr>
          <w:lang w:val="en-GB"/>
        </w:rPr>
      </w:pPr>
      <w:r w:rsidRPr="00146590">
        <w:rPr>
          <w:lang w:val="en-GB"/>
        </w:rPr>
        <w:t>Operating Margin</w:t>
      </w:r>
      <w:r w:rsidR="00A82A02" w:rsidRPr="00146590">
        <w:rPr>
          <w:lang w:val="en-GB"/>
        </w:rPr>
        <w:tab/>
      </w:r>
      <w:r w:rsidR="00A82A02" w:rsidRPr="00146590">
        <w:rPr>
          <w:lang w:val="en-GB"/>
        </w:rPr>
        <w:tab/>
        <w:t xml:space="preserve">      xx %</w:t>
      </w:r>
      <w:r w:rsidR="00A82A02" w:rsidRPr="00146590">
        <w:rPr>
          <w:lang w:val="en-GB"/>
        </w:rPr>
        <w:tab/>
        <w:t xml:space="preserve">        xx %</w:t>
      </w:r>
      <w:r w:rsidR="00A82A02" w:rsidRPr="00146590">
        <w:rPr>
          <w:lang w:val="en-GB"/>
        </w:rPr>
        <w:tab/>
        <w:t xml:space="preserve">          xx %</w:t>
      </w:r>
    </w:p>
    <w:p w:rsidR="00A82A02" w:rsidRPr="00146590" w:rsidRDefault="00150EA2" w:rsidP="00A82A02">
      <w:pPr>
        <w:rPr>
          <w:lang w:val="en-GB"/>
        </w:rPr>
      </w:pPr>
      <w:r>
        <w:rPr>
          <w:lang w:val="en-GB"/>
        </w:rPr>
        <w:pict>
          <v:rect id="_x0000_i1029" style="width:0;height:1.5pt" o:hralign="center" o:hrstd="t" o:hr="t" fillcolor="gray" stroked="f"/>
        </w:pict>
      </w:r>
    </w:p>
    <w:p w:rsidR="00A82A02" w:rsidRPr="00F0789A" w:rsidRDefault="00DB7B57" w:rsidP="00A82A02">
      <w:r w:rsidRPr="00F0789A">
        <w:t xml:space="preserve">Asset turnover </w:t>
      </w:r>
      <w:r w:rsidRPr="00F0789A">
        <w:tab/>
      </w:r>
      <w:r w:rsidR="00A82A02" w:rsidRPr="00F0789A">
        <w:tab/>
        <w:t xml:space="preserve">      xx %</w:t>
      </w:r>
      <w:r w:rsidR="00A82A02" w:rsidRPr="00F0789A">
        <w:tab/>
        <w:t xml:space="preserve">        xx %</w:t>
      </w:r>
      <w:r w:rsidR="00A82A02" w:rsidRPr="00F0789A">
        <w:tab/>
        <w:t xml:space="preserve">          xx %</w:t>
      </w:r>
    </w:p>
    <w:p w:rsidR="00A82A02" w:rsidRPr="00146590" w:rsidRDefault="00150EA2" w:rsidP="00A82A02">
      <w:pPr>
        <w:rPr>
          <w:lang w:val="en-GB"/>
        </w:rPr>
      </w:pPr>
      <w:r>
        <w:rPr>
          <w:lang w:val="en-GB"/>
        </w:rPr>
        <w:pict>
          <v:rect id="_x0000_i1030" style="width:0;height:1.5pt" o:hralign="center" o:hrstd="t" o:hr="t" fillcolor="gray" stroked="f"/>
        </w:pict>
      </w:r>
    </w:p>
    <w:p w:rsidR="00A82A02" w:rsidRPr="00146590" w:rsidRDefault="00DB7B57" w:rsidP="00A82A02">
      <w:pPr>
        <w:rPr>
          <w:b/>
          <w:sz w:val="28"/>
          <w:szCs w:val="28"/>
          <w:lang w:val="en-GB"/>
        </w:rPr>
      </w:pPr>
      <w:r w:rsidRPr="00146590">
        <w:rPr>
          <w:b/>
          <w:sz w:val="28"/>
          <w:szCs w:val="28"/>
          <w:lang w:val="en-GB"/>
        </w:rPr>
        <w:t>Solvency</w:t>
      </w:r>
    </w:p>
    <w:p w:rsidR="00A82A02" w:rsidRPr="00146590" w:rsidRDefault="00DB7B57" w:rsidP="00A82A02">
      <w:pPr>
        <w:rPr>
          <w:lang w:val="en-GB"/>
        </w:rPr>
      </w:pPr>
      <w:r w:rsidRPr="00146590">
        <w:rPr>
          <w:lang w:val="en-GB"/>
        </w:rPr>
        <w:t>Equity ratio</w:t>
      </w:r>
      <w:r w:rsidRPr="00146590">
        <w:rPr>
          <w:lang w:val="en-GB"/>
        </w:rPr>
        <w:tab/>
      </w:r>
      <w:r w:rsidR="00A82A02" w:rsidRPr="00146590">
        <w:rPr>
          <w:lang w:val="en-GB"/>
        </w:rPr>
        <w:tab/>
      </w:r>
      <w:r w:rsidR="00A82A02" w:rsidRPr="00146590">
        <w:rPr>
          <w:lang w:val="en-GB"/>
        </w:rPr>
        <w:tab/>
        <w:t xml:space="preserve">      xx %</w:t>
      </w:r>
      <w:r w:rsidR="00A82A02" w:rsidRPr="00146590">
        <w:rPr>
          <w:lang w:val="en-GB"/>
        </w:rPr>
        <w:tab/>
        <w:t xml:space="preserve">        xx %</w:t>
      </w:r>
      <w:r w:rsidR="00A82A02" w:rsidRPr="00146590">
        <w:rPr>
          <w:lang w:val="en-GB"/>
        </w:rPr>
        <w:tab/>
        <w:t xml:space="preserve">          xx %</w:t>
      </w:r>
    </w:p>
    <w:p w:rsidR="00A82A02" w:rsidRPr="00146590" w:rsidRDefault="00150EA2" w:rsidP="00A82A02">
      <w:pPr>
        <w:rPr>
          <w:lang w:val="en-GB"/>
        </w:rPr>
      </w:pPr>
      <w:r>
        <w:rPr>
          <w:lang w:val="en-GB"/>
        </w:rPr>
        <w:pict>
          <v:rect id="_x0000_i1031" style="width:0;height:1.5pt" o:hralign="center" o:hrstd="t" o:hr="t" fillcolor="gray" stroked="f"/>
        </w:pict>
      </w:r>
    </w:p>
    <w:p w:rsidR="00A82A02" w:rsidRPr="00146590" w:rsidRDefault="00A82A02" w:rsidP="00A82A02">
      <w:pPr>
        <w:rPr>
          <w:b/>
          <w:sz w:val="28"/>
          <w:szCs w:val="28"/>
          <w:lang w:val="en-GB"/>
        </w:rPr>
      </w:pPr>
    </w:p>
    <w:p w:rsidR="00460CFC" w:rsidRPr="00146590" w:rsidRDefault="00460CFC" w:rsidP="00A82A02">
      <w:pPr>
        <w:rPr>
          <w:b/>
          <w:sz w:val="28"/>
          <w:szCs w:val="28"/>
          <w:lang w:val="en-GB"/>
        </w:rPr>
      </w:pPr>
    </w:p>
    <w:p w:rsidR="00460CFC" w:rsidRPr="00146590" w:rsidRDefault="00460CFC" w:rsidP="00A82A02">
      <w:pPr>
        <w:rPr>
          <w:b/>
          <w:sz w:val="28"/>
          <w:szCs w:val="28"/>
          <w:lang w:val="en-GB"/>
        </w:rPr>
      </w:pPr>
    </w:p>
    <w:p w:rsidR="00A82A02" w:rsidRPr="00146590" w:rsidRDefault="00DB7B57" w:rsidP="00A82A02">
      <w:pPr>
        <w:rPr>
          <w:lang w:val="en-GB"/>
        </w:rPr>
      </w:pPr>
      <w:r w:rsidRPr="00146590">
        <w:rPr>
          <w:b/>
          <w:sz w:val="28"/>
          <w:szCs w:val="28"/>
          <w:lang w:val="en-GB"/>
        </w:rPr>
        <w:t>Calculation of key</w:t>
      </w:r>
      <w:r w:rsidR="00146590" w:rsidRPr="00146590">
        <w:rPr>
          <w:b/>
          <w:sz w:val="28"/>
          <w:szCs w:val="28"/>
          <w:lang w:val="en-GB"/>
        </w:rPr>
        <w:t xml:space="preserve"> </w:t>
      </w:r>
      <w:r w:rsidRPr="00146590">
        <w:rPr>
          <w:b/>
          <w:sz w:val="28"/>
          <w:szCs w:val="28"/>
          <w:lang w:val="en-GB"/>
        </w:rPr>
        <w:t>figures</w:t>
      </w:r>
    </w:p>
    <w:p w:rsidR="00A82A02" w:rsidRPr="00146590" w:rsidRDefault="00DB7B57" w:rsidP="00A82A02">
      <w:pPr>
        <w:rPr>
          <w:b/>
          <w:sz w:val="28"/>
          <w:szCs w:val="28"/>
          <w:lang w:val="en-GB"/>
        </w:rPr>
      </w:pPr>
      <w:r w:rsidRPr="00146590">
        <w:rPr>
          <w:lang w:val="en-GB"/>
        </w:rPr>
        <w:t>Retur</w:t>
      </w:r>
      <w:r w:rsidR="00146590" w:rsidRPr="00146590">
        <w:rPr>
          <w:lang w:val="en-GB"/>
        </w:rPr>
        <w:t>n</w:t>
      </w:r>
      <w:r w:rsidRPr="00146590">
        <w:rPr>
          <w:lang w:val="en-GB"/>
        </w:rPr>
        <w:t xml:space="preserve"> non equity</w:t>
      </w:r>
      <w:r w:rsidR="00A82A02" w:rsidRPr="00146590">
        <w:rPr>
          <w:b/>
          <w:sz w:val="28"/>
          <w:szCs w:val="28"/>
          <w:lang w:val="en-GB"/>
        </w:rPr>
        <w:tab/>
      </w:r>
      <w:r w:rsidR="00A82A02" w:rsidRPr="00146590">
        <w:rPr>
          <w:b/>
          <w:sz w:val="28"/>
          <w:szCs w:val="28"/>
          <w:lang w:val="en-GB"/>
        </w:rPr>
        <w:tab/>
      </w:r>
      <m:oMath>
        <m:f>
          <m:fPr>
            <m:ctrlPr>
              <w:rPr>
                <w:rFonts w:ascii="Cambria Math" w:hAnsi="Cambria Math"/>
                <w:lang w:val="en-GB"/>
              </w:rPr>
            </m:ctrlPr>
          </m:fPr>
          <m:num>
            <m:r>
              <m:rPr>
                <m:sty m:val="p"/>
              </m:rPr>
              <w:rPr>
                <w:rFonts w:ascii="Cambria Math" w:hAnsi="Cambria Math"/>
                <w:lang w:val="en-GB"/>
              </w:rPr>
              <m:t>profit after tax x 100</m:t>
            </m:r>
          </m:num>
          <m:den>
            <m:r>
              <m:rPr>
                <m:sty m:val="p"/>
              </m:rPr>
              <w:rPr>
                <w:rFonts w:ascii="Cambria Math" w:hAnsi="Cambria Math"/>
                <w:lang w:val="en-GB"/>
              </w:rPr>
              <m:t>Average equity</m:t>
            </m:r>
          </m:den>
        </m:f>
      </m:oMath>
    </w:p>
    <w:p w:rsidR="00A82A02" w:rsidRPr="00146590" w:rsidRDefault="00A82A02" w:rsidP="00A82A02">
      <w:pPr>
        <w:rPr>
          <w:b/>
          <w:sz w:val="28"/>
          <w:szCs w:val="28"/>
          <w:lang w:val="en-GB"/>
        </w:rPr>
      </w:pPr>
    </w:p>
    <w:p w:rsidR="00A82A02" w:rsidRPr="00146590" w:rsidRDefault="00DB7B57" w:rsidP="00A82A02">
      <w:pPr>
        <w:rPr>
          <w:rFonts w:eastAsiaTheme="minorEastAsia"/>
          <w:b/>
          <w:sz w:val="28"/>
          <w:szCs w:val="28"/>
          <w:lang w:val="en-GB"/>
        </w:rPr>
      </w:pPr>
      <w:r w:rsidRPr="00146590">
        <w:rPr>
          <w:lang w:val="en-GB"/>
        </w:rPr>
        <w:t>Return on assets</w:t>
      </w:r>
      <w:r w:rsidR="00A82A02" w:rsidRPr="00146590">
        <w:rPr>
          <w:b/>
          <w:sz w:val="28"/>
          <w:szCs w:val="28"/>
          <w:lang w:val="en-GB"/>
        </w:rPr>
        <w:tab/>
      </w:r>
      <w:r w:rsidR="00A82A02" w:rsidRPr="00146590">
        <w:rPr>
          <w:b/>
          <w:sz w:val="28"/>
          <w:szCs w:val="28"/>
          <w:lang w:val="en-GB"/>
        </w:rPr>
        <w:tab/>
      </w:r>
      <m:oMath>
        <m:f>
          <m:fPr>
            <m:ctrlPr>
              <w:rPr>
                <w:rFonts w:ascii="Cambria Math" w:hAnsi="Cambria Math"/>
                <w:lang w:val="en-GB"/>
              </w:rPr>
            </m:ctrlPr>
          </m:fPr>
          <m:num>
            <m:r>
              <m:rPr>
                <m:sty m:val="p"/>
              </m:rPr>
              <w:rPr>
                <w:rFonts w:ascii="Cambria Math" w:hAnsi="Cambria Math"/>
                <w:lang w:val="en-GB"/>
              </w:rPr>
              <m:t>profit from operations x 100</m:t>
            </m:r>
          </m:num>
          <m:den>
            <m:r>
              <m:rPr>
                <m:sty m:val="p"/>
              </m:rPr>
              <w:rPr>
                <w:rFonts w:ascii="Cambria Math" w:hAnsi="Cambria Math"/>
                <w:lang w:val="en-GB"/>
              </w:rPr>
              <m:t>total assets</m:t>
            </m:r>
          </m:den>
        </m:f>
      </m:oMath>
    </w:p>
    <w:p w:rsidR="00A82A02" w:rsidRPr="00146590" w:rsidRDefault="00A82A02" w:rsidP="00A82A02">
      <w:pPr>
        <w:rPr>
          <w:rFonts w:eastAsiaTheme="minorEastAsia"/>
          <w:b/>
          <w:sz w:val="28"/>
          <w:szCs w:val="28"/>
          <w:lang w:val="en-GB"/>
        </w:rPr>
      </w:pPr>
    </w:p>
    <w:p w:rsidR="00A82A02" w:rsidRPr="00146590" w:rsidRDefault="00DB7B57" w:rsidP="00A82A02">
      <w:pPr>
        <w:rPr>
          <w:rFonts w:eastAsiaTheme="minorEastAsia"/>
          <w:lang w:val="en-GB"/>
        </w:rPr>
      </w:pPr>
      <w:r w:rsidRPr="00146590">
        <w:rPr>
          <w:lang w:val="en-GB"/>
        </w:rPr>
        <w:t>Operating Margin</w:t>
      </w:r>
      <w:r w:rsidR="00A82A02" w:rsidRPr="00146590">
        <w:rPr>
          <w:rFonts w:eastAsiaTheme="minorEastAsia"/>
          <w:b/>
          <w:sz w:val="28"/>
          <w:szCs w:val="28"/>
          <w:lang w:val="en-GB"/>
        </w:rPr>
        <w:tab/>
      </w:r>
      <w:r w:rsidR="00A82A02" w:rsidRPr="00146590">
        <w:rPr>
          <w:rFonts w:eastAsiaTheme="minorEastAsia"/>
          <w:b/>
          <w:sz w:val="28"/>
          <w:szCs w:val="28"/>
          <w:lang w:val="en-GB"/>
        </w:rPr>
        <w:tab/>
      </w:r>
      <m:oMath>
        <m:f>
          <m:fPr>
            <m:ctrlPr>
              <w:rPr>
                <w:rFonts w:ascii="Cambria Math" w:hAnsi="Cambria Math"/>
                <w:lang w:val="en-GB"/>
              </w:rPr>
            </m:ctrlPr>
          </m:fPr>
          <m:num>
            <m:r>
              <m:rPr>
                <m:sty m:val="p"/>
              </m:rPr>
              <w:rPr>
                <w:rFonts w:ascii="Cambria Math" w:hAnsi="Cambria Math"/>
                <w:lang w:val="en-GB"/>
              </w:rPr>
              <m:t>operation profit x 100</m:t>
            </m:r>
          </m:num>
          <m:den>
            <m:r>
              <m:rPr>
                <m:sty m:val="p"/>
              </m:rPr>
              <w:rPr>
                <w:rFonts w:ascii="Cambria Math" w:hAnsi="Cambria Math"/>
                <w:lang w:val="en-GB"/>
              </w:rPr>
              <m:t>turnover</m:t>
            </m:r>
          </m:den>
        </m:f>
      </m:oMath>
    </w:p>
    <w:p w:rsidR="00A82A02" w:rsidRPr="00146590" w:rsidRDefault="00A82A02" w:rsidP="00A82A02">
      <w:pPr>
        <w:rPr>
          <w:rFonts w:eastAsiaTheme="minorEastAsia"/>
          <w:lang w:val="en-GB"/>
        </w:rPr>
      </w:pPr>
    </w:p>
    <w:p w:rsidR="00A82A02" w:rsidRPr="00F0789A" w:rsidRDefault="00DB7B57" w:rsidP="00A82A02">
      <w:pPr>
        <w:rPr>
          <w:rFonts w:eastAsiaTheme="minorEastAsia"/>
        </w:rPr>
      </w:pPr>
      <w:r w:rsidRPr="00F0789A">
        <w:rPr>
          <w:rFonts w:eastAsiaTheme="minorEastAsia"/>
        </w:rPr>
        <w:t>Asset turnover</w:t>
      </w:r>
      <w:r w:rsidRPr="00F0789A">
        <w:rPr>
          <w:rFonts w:eastAsiaTheme="minorEastAsia"/>
        </w:rPr>
        <w:tab/>
      </w:r>
      <w:r w:rsidRPr="00F0789A">
        <w:rPr>
          <w:rFonts w:eastAsiaTheme="minorEastAsia"/>
        </w:rPr>
        <w:tab/>
      </w:r>
      <w:r w:rsidR="00A82A02" w:rsidRPr="00F0789A">
        <w:rPr>
          <w:rFonts w:eastAsiaTheme="minorEastAsia"/>
        </w:rPr>
        <w:tab/>
      </w:r>
      <m:oMath>
        <m:f>
          <m:fPr>
            <m:ctrlPr>
              <w:rPr>
                <w:rFonts w:ascii="Cambria Math" w:hAnsi="Cambria Math"/>
                <w:lang w:val="en-GB"/>
              </w:rPr>
            </m:ctrlPr>
          </m:fPr>
          <m:num>
            <m:r>
              <m:rPr>
                <m:sty m:val="p"/>
              </m:rPr>
              <w:rPr>
                <w:rFonts w:ascii="Cambria Math" w:hAnsi="Cambria Math"/>
              </w:rPr>
              <m:t>turnover</m:t>
            </m:r>
          </m:num>
          <m:den>
            <m:r>
              <m:rPr>
                <m:sty m:val="p"/>
              </m:rPr>
              <w:rPr>
                <w:rFonts w:ascii="Cambria Math" w:hAnsi="Cambria Math"/>
              </w:rPr>
              <m:t>total assets</m:t>
            </m:r>
          </m:den>
        </m:f>
      </m:oMath>
    </w:p>
    <w:p w:rsidR="00A82A02" w:rsidRPr="00F0789A" w:rsidRDefault="00A82A02" w:rsidP="00A82A02">
      <w:pPr>
        <w:rPr>
          <w:rFonts w:eastAsiaTheme="minorEastAsia"/>
        </w:rPr>
      </w:pPr>
    </w:p>
    <w:p w:rsidR="00A82A02" w:rsidRPr="00146590" w:rsidRDefault="00DB7B57" w:rsidP="00A82A02">
      <w:pPr>
        <w:rPr>
          <w:rFonts w:eastAsiaTheme="minorEastAsia"/>
          <w:b/>
          <w:sz w:val="28"/>
          <w:szCs w:val="28"/>
          <w:lang w:val="en-GB"/>
        </w:rPr>
      </w:pPr>
      <w:r w:rsidRPr="00146590">
        <w:rPr>
          <w:rFonts w:eastAsiaTheme="minorEastAsia"/>
          <w:lang w:val="en-GB"/>
        </w:rPr>
        <w:t>Equity ratio</w:t>
      </w:r>
      <w:r w:rsidRPr="00146590">
        <w:rPr>
          <w:rFonts w:eastAsiaTheme="minorEastAsia"/>
          <w:lang w:val="en-GB"/>
        </w:rPr>
        <w:tab/>
      </w:r>
      <w:r w:rsidR="00A82A02" w:rsidRPr="00146590">
        <w:rPr>
          <w:rFonts w:eastAsiaTheme="minorEastAsia"/>
          <w:lang w:val="en-GB"/>
        </w:rPr>
        <w:tab/>
      </w:r>
      <w:r w:rsidR="00A82A02" w:rsidRPr="00146590">
        <w:rPr>
          <w:rFonts w:eastAsiaTheme="minorEastAsia"/>
          <w:lang w:val="en-GB"/>
        </w:rPr>
        <w:tab/>
      </w:r>
      <m:oMath>
        <m:f>
          <m:fPr>
            <m:ctrlPr>
              <w:rPr>
                <w:rFonts w:ascii="Cambria Math" w:hAnsi="Cambria Math"/>
                <w:lang w:val="en-GB"/>
              </w:rPr>
            </m:ctrlPr>
          </m:fPr>
          <m:num>
            <m:r>
              <m:rPr>
                <m:sty m:val="p"/>
              </m:rPr>
              <w:rPr>
                <w:rFonts w:ascii="Cambria Math" w:hAnsi="Cambria Math"/>
                <w:lang w:val="en-GB"/>
              </w:rPr>
              <m:t>equity at year end x 100</m:t>
            </m:r>
          </m:num>
          <m:den>
            <m:r>
              <m:rPr>
                <m:sty m:val="p"/>
              </m:rPr>
              <w:rPr>
                <w:rFonts w:ascii="Cambria Math" w:hAnsi="Cambria Math"/>
                <w:lang w:val="en-GB"/>
              </w:rPr>
              <m:t>total assets</m:t>
            </m:r>
          </m:den>
        </m:f>
      </m:oMath>
    </w:p>
    <w:p w:rsidR="00A82A02" w:rsidRPr="00146590" w:rsidRDefault="00A82A02" w:rsidP="00A82A02">
      <w:pPr>
        <w:rPr>
          <w:b/>
          <w:sz w:val="28"/>
          <w:szCs w:val="28"/>
          <w:lang w:val="en-GB"/>
        </w:rPr>
      </w:pPr>
    </w:p>
    <w:p w:rsidR="00A82A02" w:rsidRPr="00146590" w:rsidRDefault="00A82A02" w:rsidP="00A82A02">
      <w:pPr>
        <w:tabs>
          <w:tab w:val="left" w:pos="1260"/>
          <w:tab w:val="left" w:pos="1983"/>
          <w:tab w:val="left" w:pos="2550"/>
          <w:tab w:val="left" w:pos="5101"/>
          <w:tab w:val="left" w:pos="7653"/>
          <w:tab w:val="left" w:pos="9637"/>
        </w:tabs>
        <w:suppressAutoHyphens/>
        <w:rPr>
          <w:b/>
          <w:szCs w:val="22"/>
          <w:lang w:val="en-GB"/>
        </w:rPr>
      </w:pPr>
    </w:p>
    <w:p w:rsidR="00A82A02" w:rsidRPr="00146590" w:rsidRDefault="00A82A02" w:rsidP="00A82A02">
      <w:pPr>
        <w:tabs>
          <w:tab w:val="left" w:pos="1260"/>
          <w:tab w:val="left" w:pos="1983"/>
          <w:tab w:val="left" w:pos="2550"/>
          <w:tab w:val="left" w:pos="5101"/>
          <w:tab w:val="left" w:pos="7653"/>
          <w:tab w:val="left" w:pos="9637"/>
        </w:tabs>
        <w:suppressAutoHyphens/>
        <w:rPr>
          <w:b/>
          <w:szCs w:val="22"/>
          <w:lang w:val="en-GB"/>
        </w:rPr>
      </w:pPr>
    </w:p>
    <w:p w:rsidR="00A82A02" w:rsidRPr="00146590" w:rsidRDefault="00A82A02" w:rsidP="00A82A02">
      <w:pPr>
        <w:tabs>
          <w:tab w:val="left" w:pos="1260"/>
          <w:tab w:val="left" w:pos="1983"/>
          <w:tab w:val="left" w:pos="2550"/>
          <w:tab w:val="left" w:pos="5101"/>
          <w:tab w:val="left" w:pos="7653"/>
          <w:tab w:val="left" w:pos="9637"/>
        </w:tabs>
        <w:suppressAutoHyphens/>
        <w:rPr>
          <w:b/>
          <w:szCs w:val="22"/>
          <w:lang w:val="en-GB"/>
        </w:rPr>
      </w:pPr>
    </w:p>
    <w:p w:rsidR="00A82A02" w:rsidRPr="00146590" w:rsidRDefault="00DB7B57" w:rsidP="00A82A02">
      <w:pPr>
        <w:tabs>
          <w:tab w:val="left" w:leader="dot" w:pos="1701"/>
          <w:tab w:val="left" w:pos="2268"/>
          <w:tab w:val="left" w:leader="dot" w:pos="3969"/>
        </w:tabs>
        <w:rPr>
          <w:szCs w:val="22"/>
          <w:lang w:val="en-GB"/>
        </w:rPr>
      </w:pPr>
      <w:r w:rsidRPr="00146590">
        <w:rPr>
          <w:szCs w:val="22"/>
          <w:lang w:val="en-GB"/>
        </w:rPr>
        <w:tab/>
        <w:t xml:space="preserve"> date</w:t>
      </w:r>
      <w:r w:rsidR="00A82A02" w:rsidRPr="00146590">
        <w:rPr>
          <w:szCs w:val="22"/>
          <w:lang w:val="en-GB"/>
        </w:rPr>
        <w:tab/>
      </w:r>
      <w:r w:rsidR="00A82A02" w:rsidRPr="00146590">
        <w:rPr>
          <w:szCs w:val="22"/>
          <w:lang w:val="en-GB"/>
        </w:rPr>
        <w:tab/>
      </w:r>
    </w:p>
    <w:p w:rsidR="00A82A02" w:rsidRPr="00146590" w:rsidRDefault="00A82A02" w:rsidP="00A82A02">
      <w:pPr>
        <w:tabs>
          <w:tab w:val="left" w:leader="dot" w:pos="1701"/>
          <w:tab w:val="left" w:pos="2268"/>
          <w:tab w:val="left" w:leader="dot" w:pos="3969"/>
        </w:tabs>
        <w:rPr>
          <w:szCs w:val="22"/>
          <w:lang w:val="en-GB"/>
        </w:rPr>
      </w:pPr>
    </w:p>
    <w:p w:rsidR="00A82A02" w:rsidRPr="00146590" w:rsidRDefault="00A82A02" w:rsidP="00A82A02">
      <w:pPr>
        <w:tabs>
          <w:tab w:val="left" w:leader="dot" w:pos="3969"/>
          <w:tab w:val="left" w:pos="4500"/>
          <w:tab w:val="left" w:leader="dot" w:pos="6840"/>
        </w:tabs>
        <w:rPr>
          <w:szCs w:val="22"/>
          <w:lang w:val="en-GB"/>
        </w:rPr>
      </w:pPr>
    </w:p>
    <w:p w:rsidR="00A82A02" w:rsidRPr="00146590" w:rsidRDefault="00A82A02" w:rsidP="00A82A02">
      <w:pPr>
        <w:tabs>
          <w:tab w:val="left" w:leader="dot" w:pos="3969"/>
          <w:tab w:val="left" w:pos="4500"/>
          <w:tab w:val="left" w:leader="dot" w:pos="6840"/>
        </w:tabs>
        <w:rPr>
          <w:szCs w:val="22"/>
          <w:lang w:val="en-GB"/>
        </w:rPr>
      </w:pPr>
      <w:r w:rsidRPr="00146590">
        <w:rPr>
          <w:szCs w:val="22"/>
          <w:lang w:val="en-GB"/>
        </w:rPr>
        <w:tab/>
      </w:r>
      <w:r w:rsidRPr="00146590">
        <w:rPr>
          <w:szCs w:val="22"/>
          <w:lang w:val="en-GB"/>
        </w:rPr>
        <w:tab/>
      </w:r>
    </w:p>
    <w:p w:rsidR="00A82A02" w:rsidRPr="00146590" w:rsidRDefault="00DB7B57" w:rsidP="00A82A02">
      <w:pPr>
        <w:tabs>
          <w:tab w:val="left" w:pos="1080"/>
          <w:tab w:val="left" w:leader="dot" w:pos="3969"/>
        </w:tabs>
        <w:rPr>
          <w:sz w:val="16"/>
          <w:szCs w:val="16"/>
          <w:lang w:val="en-GB"/>
        </w:rPr>
      </w:pPr>
      <w:r w:rsidRPr="00146590">
        <w:rPr>
          <w:sz w:val="16"/>
          <w:szCs w:val="16"/>
          <w:lang w:val="en-GB"/>
        </w:rPr>
        <w:t xml:space="preserve">                Signature and stamp</w:t>
      </w:r>
      <w:r w:rsidR="007703DE" w:rsidRPr="00146590">
        <w:rPr>
          <w:sz w:val="16"/>
          <w:szCs w:val="16"/>
          <w:lang w:val="en-GB"/>
        </w:rPr>
        <w:t xml:space="preserve"> from the applicant</w:t>
      </w:r>
    </w:p>
    <w:p w:rsidR="000730C2" w:rsidRDefault="000730C2" w:rsidP="00DB7B57">
      <w:pPr>
        <w:tabs>
          <w:tab w:val="left" w:pos="1080"/>
          <w:tab w:val="left" w:leader="dot" w:pos="3969"/>
        </w:tabs>
        <w:rPr>
          <w:sz w:val="16"/>
          <w:szCs w:val="16"/>
          <w:lang w:val="en-GB"/>
        </w:rPr>
      </w:pPr>
    </w:p>
    <w:p w:rsidR="0024344E" w:rsidRDefault="0024344E" w:rsidP="0024344E">
      <w:pPr>
        <w:rPr>
          <w:szCs w:val="22"/>
          <w:lang w:val="en-US"/>
        </w:rPr>
      </w:pPr>
    </w:p>
    <w:p w:rsidR="000A635F" w:rsidRPr="00F0789A" w:rsidRDefault="000A635F" w:rsidP="0024344E">
      <w:pPr>
        <w:rPr>
          <w:szCs w:val="22"/>
          <w:lang w:val="en-US"/>
        </w:rPr>
      </w:pPr>
    </w:p>
    <w:p w:rsidR="0024344E" w:rsidRDefault="0024344E" w:rsidP="00CF407E">
      <w:pPr>
        <w:jc w:val="center"/>
        <w:rPr>
          <w:b/>
          <w:szCs w:val="22"/>
        </w:rPr>
      </w:pPr>
      <w:proofErr w:type="spellStart"/>
      <w:r w:rsidRPr="00DB1C22">
        <w:rPr>
          <w:b/>
          <w:szCs w:val="22"/>
        </w:rPr>
        <w:t>Annex</w:t>
      </w:r>
      <w:proofErr w:type="spellEnd"/>
      <w:r w:rsidRPr="00DB1C22">
        <w:rPr>
          <w:b/>
          <w:szCs w:val="22"/>
        </w:rPr>
        <w:t xml:space="preserve"> 1</w:t>
      </w:r>
    </w:p>
    <w:p w:rsidR="00B775A4" w:rsidRPr="00DB1C22" w:rsidRDefault="00B775A4" w:rsidP="000A635F">
      <w:pPr>
        <w:rPr>
          <w:b/>
          <w:szCs w:val="22"/>
        </w:rPr>
      </w:pPr>
    </w:p>
    <w:p w:rsidR="0024344E" w:rsidRDefault="0024344E" w:rsidP="0024344E">
      <w:pPr>
        <w:rPr>
          <w:szCs w:val="22"/>
        </w:rPr>
      </w:pPr>
    </w:p>
    <w:tbl>
      <w:tblPr>
        <w:tblW w:w="8636"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76"/>
        <w:gridCol w:w="3260"/>
      </w:tblGrid>
      <w:tr w:rsidR="0024344E" w:rsidRPr="008A288B" w:rsidTr="00F0789A">
        <w:trPr>
          <w:trHeight w:val="482"/>
        </w:trPr>
        <w:tc>
          <w:tcPr>
            <w:tcW w:w="5376" w:type="dxa"/>
            <w:tcBorders>
              <w:top w:val="single" w:sz="6" w:space="0" w:color="auto"/>
              <w:left w:val="single" w:sz="6" w:space="0" w:color="auto"/>
              <w:bottom w:val="double" w:sz="4" w:space="0" w:color="auto"/>
              <w:right w:val="single" w:sz="6" w:space="0" w:color="auto"/>
            </w:tcBorders>
            <w:shd w:val="clear" w:color="auto" w:fill="auto"/>
            <w:vAlign w:val="center"/>
          </w:tcPr>
          <w:p w:rsidR="0024344E" w:rsidRDefault="0024344E" w:rsidP="005E4E7A">
            <w:pPr>
              <w:tabs>
                <w:tab w:val="left" w:pos="0"/>
                <w:tab w:val="left" w:pos="567"/>
                <w:tab w:val="left" w:pos="1983"/>
                <w:tab w:val="left" w:pos="2550"/>
                <w:tab w:val="left" w:pos="5101"/>
                <w:tab w:val="left" w:pos="7653"/>
                <w:tab w:val="left" w:pos="9637"/>
              </w:tabs>
              <w:suppressAutoHyphens/>
              <w:jc w:val="center"/>
              <w:rPr>
                <w:b/>
                <w:szCs w:val="22"/>
                <w:u w:val="single"/>
                <w:lang w:val="en-US"/>
              </w:rPr>
            </w:pPr>
            <w:r>
              <w:rPr>
                <w:b/>
                <w:szCs w:val="22"/>
                <w:u w:val="single"/>
                <w:lang w:val="en-US"/>
              </w:rPr>
              <w:t>Assessor</w:t>
            </w:r>
          </w:p>
        </w:tc>
        <w:tc>
          <w:tcPr>
            <w:tcW w:w="3260" w:type="dxa"/>
            <w:tcBorders>
              <w:top w:val="single" w:sz="6" w:space="0" w:color="auto"/>
              <w:left w:val="single" w:sz="6" w:space="0" w:color="auto"/>
              <w:bottom w:val="double" w:sz="4" w:space="0" w:color="auto"/>
              <w:right w:val="single" w:sz="6" w:space="0" w:color="auto"/>
            </w:tcBorders>
            <w:shd w:val="clear" w:color="auto" w:fill="auto"/>
          </w:tcPr>
          <w:p w:rsidR="0024344E" w:rsidRDefault="00F0789A" w:rsidP="00166576">
            <w:pPr>
              <w:tabs>
                <w:tab w:val="left" w:pos="0"/>
                <w:tab w:val="left" w:pos="567"/>
                <w:tab w:val="left" w:pos="1983"/>
                <w:tab w:val="left" w:pos="2550"/>
                <w:tab w:val="left" w:pos="5101"/>
                <w:tab w:val="left" w:pos="7653"/>
                <w:tab w:val="left" w:pos="9637"/>
              </w:tabs>
              <w:suppressAutoHyphens/>
              <w:jc w:val="center"/>
              <w:rPr>
                <w:b/>
                <w:szCs w:val="22"/>
                <w:u w:val="single"/>
                <w:lang w:val="en-US"/>
              </w:rPr>
            </w:pPr>
            <w:r>
              <w:rPr>
                <w:b/>
                <w:szCs w:val="22"/>
                <w:u w:val="single"/>
                <w:lang w:val="en-US"/>
              </w:rPr>
              <w:t>State for which the company can act as a NoBo and an ISA respectively</w:t>
            </w:r>
          </w:p>
        </w:tc>
      </w:tr>
      <w:tr w:rsidR="0024344E" w:rsidTr="00ED5FFC">
        <w:trPr>
          <w:trHeight w:val="1617"/>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24344E" w:rsidRPr="00F0789A" w:rsidRDefault="0024344E" w:rsidP="005E4E7A">
            <w:pPr>
              <w:tabs>
                <w:tab w:val="left" w:pos="0"/>
                <w:tab w:val="left" w:pos="567"/>
                <w:tab w:val="left" w:pos="1983"/>
                <w:tab w:val="left" w:pos="2550"/>
                <w:tab w:val="left" w:pos="5101"/>
                <w:tab w:val="left" w:pos="7653"/>
                <w:tab w:val="left" w:pos="9637"/>
              </w:tabs>
              <w:suppressAutoHyphens/>
              <w:rPr>
                <w:szCs w:val="22"/>
                <w:lang w:val="en-US"/>
              </w:rPr>
            </w:pPr>
          </w:p>
          <w:p w:rsidR="0024344E" w:rsidRPr="00F0789A" w:rsidRDefault="0024344E" w:rsidP="005E4E7A">
            <w:pPr>
              <w:tabs>
                <w:tab w:val="left" w:pos="0"/>
                <w:tab w:val="left" w:pos="567"/>
                <w:tab w:val="left" w:pos="1983"/>
                <w:tab w:val="left" w:pos="2550"/>
                <w:tab w:val="left" w:pos="5101"/>
                <w:tab w:val="left" w:pos="7653"/>
                <w:tab w:val="left" w:pos="9637"/>
              </w:tabs>
              <w:suppressAutoHyphens/>
              <w:rPr>
                <w:szCs w:val="22"/>
                <w:lang w:val="en-US"/>
              </w:rPr>
            </w:pPr>
          </w:p>
          <w:p w:rsidR="0024344E" w:rsidRPr="00F0789A" w:rsidRDefault="0024344E" w:rsidP="005E4E7A">
            <w:pPr>
              <w:tabs>
                <w:tab w:val="left" w:pos="0"/>
                <w:tab w:val="left" w:pos="567"/>
                <w:tab w:val="left" w:pos="1983"/>
                <w:tab w:val="left" w:pos="2550"/>
                <w:tab w:val="left" w:pos="5101"/>
                <w:tab w:val="left" w:pos="7653"/>
                <w:tab w:val="left" w:pos="9637"/>
              </w:tabs>
              <w:suppressAutoHyphens/>
              <w:rPr>
                <w:szCs w:val="22"/>
                <w:lang w:val="en-US"/>
              </w:rPr>
            </w:pPr>
          </w:p>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r>
              <w:rPr>
                <w:szCs w:val="22"/>
              </w:rPr>
              <w:t>Independent Safety Assessor (ISA)</w:t>
            </w:r>
          </w:p>
          <w:p w:rsidR="0024344E" w:rsidRDefault="0024344E" w:rsidP="005E4E7A">
            <w:pPr>
              <w:pStyle w:val="Listeafsnit"/>
              <w:tabs>
                <w:tab w:val="left" w:pos="0"/>
                <w:tab w:val="left" w:pos="567"/>
                <w:tab w:val="left" w:pos="1983"/>
                <w:tab w:val="left" w:pos="2550"/>
                <w:tab w:val="left" w:pos="5101"/>
                <w:tab w:val="left" w:pos="7653"/>
                <w:tab w:val="left" w:pos="9637"/>
              </w:tabs>
              <w:suppressAutoHyphens/>
              <w:rPr>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vAlign w:val="center"/>
          </w:tcPr>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p>
        </w:tc>
      </w:tr>
      <w:tr w:rsidR="0024344E" w:rsidTr="00ED5FFC">
        <w:trPr>
          <w:trHeight w:val="1953"/>
        </w:trPr>
        <w:tc>
          <w:tcPr>
            <w:tcW w:w="5376" w:type="dxa"/>
            <w:tcBorders>
              <w:top w:val="double" w:sz="4" w:space="0" w:color="auto"/>
              <w:left w:val="double" w:sz="4" w:space="0" w:color="auto"/>
              <w:bottom w:val="double" w:sz="4" w:space="0" w:color="auto"/>
              <w:right w:val="double" w:sz="4" w:space="0" w:color="auto"/>
            </w:tcBorders>
            <w:shd w:val="clear" w:color="auto" w:fill="auto"/>
            <w:vAlign w:val="center"/>
          </w:tcPr>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p>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p>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p>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r>
              <w:rPr>
                <w:szCs w:val="22"/>
              </w:rPr>
              <w:t>Notified Body (NoBo)</w:t>
            </w:r>
          </w:p>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p>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p>
        </w:tc>
        <w:tc>
          <w:tcPr>
            <w:tcW w:w="3260" w:type="dxa"/>
            <w:tcBorders>
              <w:top w:val="double" w:sz="4" w:space="0" w:color="auto"/>
              <w:left w:val="double" w:sz="4" w:space="0" w:color="auto"/>
              <w:bottom w:val="double" w:sz="4" w:space="0" w:color="auto"/>
              <w:right w:val="double" w:sz="4" w:space="0" w:color="auto"/>
            </w:tcBorders>
            <w:shd w:val="clear" w:color="auto" w:fill="auto"/>
            <w:vAlign w:val="center"/>
          </w:tcPr>
          <w:p w:rsidR="0024344E" w:rsidRDefault="0024344E" w:rsidP="005E4E7A">
            <w:pPr>
              <w:tabs>
                <w:tab w:val="left" w:pos="0"/>
                <w:tab w:val="left" w:pos="567"/>
                <w:tab w:val="left" w:pos="1983"/>
                <w:tab w:val="left" w:pos="2550"/>
                <w:tab w:val="left" w:pos="5101"/>
                <w:tab w:val="left" w:pos="7653"/>
                <w:tab w:val="left" w:pos="9637"/>
              </w:tabs>
              <w:suppressAutoHyphens/>
              <w:rPr>
                <w:szCs w:val="22"/>
              </w:rPr>
            </w:pPr>
          </w:p>
        </w:tc>
      </w:tr>
    </w:tbl>
    <w:p w:rsidR="0024344E" w:rsidRDefault="0024344E" w:rsidP="0024344E">
      <w:pPr>
        <w:rPr>
          <w:szCs w:val="22"/>
        </w:rPr>
      </w:pPr>
    </w:p>
    <w:p w:rsidR="004E08E5" w:rsidRPr="001E45C0" w:rsidRDefault="004E08E5" w:rsidP="004E08E5">
      <w:pPr>
        <w:rPr>
          <w:lang w:val="en-GB"/>
        </w:rPr>
      </w:pPr>
    </w:p>
    <w:sectPr w:rsidR="004E08E5" w:rsidRPr="001E45C0" w:rsidSect="00A82284">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EA2" w:rsidRDefault="00150EA2" w:rsidP="00F23CE1">
      <w:r>
        <w:separator/>
      </w:r>
    </w:p>
  </w:endnote>
  <w:endnote w:type="continuationSeparator" w:id="0">
    <w:p w:rsidR="00150EA2" w:rsidRDefault="00150EA2" w:rsidP="00F2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EA2" w:rsidRDefault="00150EA2" w:rsidP="00F23CE1">
      <w:r>
        <w:separator/>
      </w:r>
    </w:p>
  </w:footnote>
  <w:footnote w:type="continuationSeparator" w:id="0">
    <w:p w:rsidR="00150EA2" w:rsidRDefault="00150EA2" w:rsidP="00F23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2BE" w:rsidRPr="00B5281B" w:rsidRDefault="001952BE" w:rsidP="00F23CE1">
    <w:pPr>
      <w:rPr>
        <w:b/>
        <w:sz w:val="28"/>
        <w:szCs w:val="28"/>
        <w:lang w:val="en-US"/>
      </w:rPr>
    </w:pPr>
    <w:r>
      <w:rPr>
        <w:noProof/>
      </w:rPr>
      <w:drawing>
        <wp:inline distT="0" distB="0" distL="0" distR="0">
          <wp:extent cx="866775" cy="600075"/>
          <wp:effectExtent l="19050" t="0" r="9525" b="0"/>
          <wp:docPr id="14" name="Billede 14" descr="Logo_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SH"/>
                  <pic:cNvPicPr>
                    <a:picLocks noChangeAspect="1" noChangeArrowheads="1"/>
                  </pic:cNvPicPr>
                </pic:nvPicPr>
                <pic:blipFill>
                  <a:blip r:embed="rId1"/>
                  <a:srcRect/>
                  <a:stretch>
                    <a:fillRect/>
                  </a:stretch>
                </pic:blipFill>
                <pic:spPr bwMode="auto">
                  <a:xfrm>
                    <a:off x="0" y="0"/>
                    <a:ext cx="866775" cy="600075"/>
                  </a:xfrm>
                  <a:prstGeom prst="rect">
                    <a:avLst/>
                  </a:prstGeom>
                  <a:noFill/>
                  <a:ln w="9525">
                    <a:noFill/>
                    <a:miter lim="800000"/>
                    <a:headEnd/>
                    <a:tailEnd/>
                  </a:ln>
                </pic:spPr>
              </pic:pic>
            </a:graphicData>
          </a:graphic>
        </wp:inline>
      </w:drawing>
    </w:r>
    <w:r w:rsidR="00A44CC8" w:rsidRPr="00B5281B">
      <w:rPr>
        <w:b/>
        <w:sz w:val="28"/>
        <w:szCs w:val="28"/>
        <w:lang w:val="en-US"/>
      </w:rPr>
      <w:t xml:space="preserve">                                                                                                     </w:t>
    </w:r>
    <w:r w:rsidR="00A44CC8" w:rsidRPr="00A44CC8">
      <w:rPr>
        <w:sz w:val="18"/>
        <w:szCs w:val="18"/>
        <w:lang w:val="en-US"/>
      </w:rPr>
      <w:t xml:space="preserve">March </w:t>
    </w:r>
    <w:r w:rsidR="00391E4F">
      <w:rPr>
        <w:sz w:val="18"/>
        <w:szCs w:val="18"/>
        <w:lang w:val="en-US"/>
      </w:rPr>
      <w:t>10</w:t>
    </w:r>
    <w:r w:rsidR="00A44CC8" w:rsidRPr="00A44CC8">
      <w:rPr>
        <w:sz w:val="18"/>
        <w:szCs w:val="18"/>
        <w:lang w:val="en-US"/>
      </w:rPr>
      <w:t>, 2017</w:t>
    </w:r>
  </w:p>
  <w:p w:rsidR="001952BE" w:rsidRPr="00B5281B" w:rsidRDefault="001952BE" w:rsidP="00F23CE1">
    <w:pPr>
      <w:rPr>
        <w:b/>
        <w:sz w:val="28"/>
        <w:szCs w:val="28"/>
        <w:lang w:val="en-US"/>
      </w:rPr>
    </w:pPr>
  </w:p>
  <w:p w:rsidR="001952BE" w:rsidRPr="00146590" w:rsidRDefault="001952BE" w:rsidP="00F23CE1">
    <w:pPr>
      <w:ind w:firstLine="1304"/>
      <w:rPr>
        <w:b/>
        <w:sz w:val="28"/>
        <w:szCs w:val="28"/>
        <w:lang w:val="en-US"/>
      </w:rPr>
    </w:pPr>
    <w:r w:rsidRPr="00146590">
      <w:rPr>
        <w:b/>
        <w:sz w:val="28"/>
        <w:szCs w:val="28"/>
        <w:lang w:val="en-US"/>
      </w:rPr>
      <w:t>Qualification system for assessors in Banedanmark</w:t>
    </w:r>
  </w:p>
  <w:p w:rsidR="001952BE" w:rsidRPr="00146590" w:rsidRDefault="001952BE">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6185B"/>
    <w:multiLevelType w:val="hybridMultilevel"/>
    <w:tmpl w:val="EA7E9EF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F0"/>
    <w:rsid w:val="00040836"/>
    <w:rsid w:val="000673DC"/>
    <w:rsid w:val="000730C2"/>
    <w:rsid w:val="00081B41"/>
    <w:rsid w:val="000A133A"/>
    <w:rsid w:val="000A635F"/>
    <w:rsid w:val="000B40EA"/>
    <w:rsid w:val="000D1387"/>
    <w:rsid w:val="000E662E"/>
    <w:rsid w:val="00101BE0"/>
    <w:rsid w:val="00146590"/>
    <w:rsid w:val="00150EA2"/>
    <w:rsid w:val="00164FE9"/>
    <w:rsid w:val="00166576"/>
    <w:rsid w:val="00166F75"/>
    <w:rsid w:val="00170BDA"/>
    <w:rsid w:val="00176CFD"/>
    <w:rsid w:val="00177A0B"/>
    <w:rsid w:val="001952BE"/>
    <w:rsid w:val="001A46A7"/>
    <w:rsid w:val="001D7FD7"/>
    <w:rsid w:val="001E3F06"/>
    <w:rsid w:val="0024344E"/>
    <w:rsid w:val="00274DBC"/>
    <w:rsid w:val="00291418"/>
    <w:rsid w:val="00291459"/>
    <w:rsid w:val="00293434"/>
    <w:rsid w:val="002A7560"/>
    <w:rsid w:val="002B7FF2"/>
    <w:rsid w:val="002E0139"/>
    <w:rsid w:val="002F3EA3"/>
    <w:rsid w:val="00320C70"/>
    <w:rsid w:val="003318DE"/>
    <w:rsid w:val="00346F8F"/>
    <w:rsid w:val="003714E4"/>
    <w:rsid w:val="00391E4F"/>
    <w:rsid w:val="003C1ECF"/>
    <w:rsid w:val="003C2194"/>
    <w:rsid w:val="003C313C"/>
    <w:rsid w:val="003E3FEB"/>
    <w:rsid w:val="0042377E"/>
    <w:rsid w:val="00445846"/>
    <w:rsid w:val="004519ED"/>
    <w:rsid w:val="00460CFC"/>
    <w:rsid w:val="004C5DE8"/>
    <w:rsid w:val="004C7362"/>
    <w:rsid w:val="004D758A"/>
    <w:rsid w:val="004E08E5"/>
    <w:rsid w:val="004E5C13"/>
    <w:rsid w:val="004F7A54"/>
    <w:rsid w:val="005111F0"/>
    <w:rsid w:val="00534B62"/>
    <w:rsid w:val="005518C9"/>
    <w:rsid w:val="005575E8"/>
    <w:rsid w:val="005637A0"/>
    <w:rsid w:val="005B4C46"/>
    <w:rsid w:val="005D2FA5"/>
    <w:rsid w:val="005E305E"/>
    <w:rsid w:val="005E3130"/>
    <w:rsid w:val="005E4E7A"/>
    <w:rsid w:val="005E4F21"/>
    <w:rsid w:val="005E65CD"/>
    <w:rsid w:val="006155FB"/>
    <w:rsid w:val="00615AF0"/>
    <w:rsid w:val="00635860"/>
    <w:rsid w:val="00636030"/>
    <w:rsid w:val="006611D9"/>
    <w:rsid w:val="00667492"/>
    <w:rsid w:val="00685CE8"/>
    <w:rsid w:val="006F5A7A"/>
    <w:rsid w:val="007703DE"/>
    <w:rsid w:val="0078765B"/>
    <w:rsid w:val="007C38B8"/>
    <w:rsid w:val="007D0F27"/>
    <w:rsid w:val="007D619F"/>
    <w:rsid w:val="0081027D"/>
    <w:rsid w:val="00842A34"/>
    <w:rsid w:val="008447E3"/>
    <w:rsid w:val="008572BE"/>
    <w:rsid w:val="00890F02"/>
    <w:rsid w:val="008A288B"/>
    <w:rsid w:val="008A6007"/>
    <w:rsid w:val="009228B8"/>
    <w:rsid w:val="00976675"/>
    <w:rsid w:val="009830C1"/>
    <w:rsid w:val="0098498E"/>
    <w:rsid w:val="00985D42"/>
    <w:rsid w:val="009B35F0"/>
    <w:rsid w:val="009E4263"/>
    <w:rsid w:val="009F4167"/>
    <w:rsid w:val="00A044AC"/>
    <w:rsid w:val="00A11AF7"/>
    <w:rsid w:val="00A23F64"/>
    <w:rsid w:val="00A44CC8"/>
    <w:rsid w:val="00A60069"/>
    <w:rsid w:val="00A82284"/>
    <w:rsid w:val="00A82A02"/>
    <w:rsid w:val="00AA2FF0"/>
    <w:rsid w:val="00AB086D"/>
    <w:rsid w:val="00AC01E5"/>
    <w:rsid w:val="00AC779B"/>
    <w:rsid w:val="00AD16C0"/>
    <w:rsid w:val="00AD2E1A"/>
    <w:rsid w:val="00B077D9"/>
    <w:rsid w:val="00B12352"/>
    <w:rsid w:val="00B42AAF"/>
    <w:rsid w:val="00B5281B"/>
    <w:rsid w:val="00B60577"/>
    <w:rsid w:val="00B775A4"/>
    <w:rsid w:val="00B938C7"/>
    <w:rsid w:val="00B95356"/>
    <w:rsid w:val="00BB0D78"/>
    <w:rsid w:val="00BB1195"/>
    <w:rsid w:val="00BB1500"/>
    <w:rsid w:val="00BE1943"/>
    <w:rsid w:val="00BE3D0E"/>
    <w:rsid w:val="00BE61B4"/>
    <w:rsid w:val="00C14804"/>
    <w:rsid w:val="00C5621E"/>
    <w:rsid w:val="00C63FCD"/>
    <w:rsid w:val="00C71730"/>
    <w:rsid w:val="00C96DF1"/>
    <w:rsid w:val="00CA095C"/>
    <w:rsid w:val="00CB5871"/>
    <w:rsid w:val="00CD5F30"/>
    <w:rsid w:val="00CF407E"/>
    <w:rsid w:val="00D256AC"/>
    <w:rsid w:val="00D3777B"/>
    <w:rsid w:val="00D4073F"/>
    <w:rsid w:val="00D63CB1"/>
    <w:rsid w:val="00D766E2"/>
    <w:rsid w:val="00D82BCB"/>
    <w:rsid w:val="00D926B5"/>
    <w:rsid w:val="00DA0A1A"/>
    <w:rsid w:val="00DA0D56"/>
    <w:rsid w:val="00DA2765"/>
    <w:rsid w:val="00DB7B57"/>
    <w:rsid w:val="00E17BFB"/>
    <w:rsid w:val="00E3445A"/>
    <w:rsid w:val="00E36892"/>
    <w:rsid w:val="00E578D3"/>
    <w:rsid w:val="00E71399"/>
    <w:rsid w:val="00E9266B"/>
    <w:rsid w:val="00E968D4"/>
    <w:rsid w:val="00EB18DE"/>
    <w:rsid w:val="00EB4D27"/>
    <w:rsid w:val="00ED5FFC"/>
    <w:rsid w:val="00ED6C66"/>
    <w:rsid w:val="00EE6EC3"/>
    <w:rsid w:val="00F0789A"/>
    <w:rsid w:val="00F23CE1"/>
    <w:rsid w:val="00F302B3"/>
    <w:rsid w:val="00F63656"/>
    <w:rsid w:val="00FA5021"/>
    <w:rsid w:val="00FC6157"/>
    <w:rsid w:val="00FE3217"/>
    <w:rsid w:val="00FE63A8"/>
    <w:rsid w:val="00FF0040"/>
    <w:rsid w:val="00FF40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A3FB"/>
  <w15:docId w15:val="{35919F40-6B90-417F-BAA0-205E4248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1F0"/>
    <w:pPr>
      <w:spacing w:after="0" w:line="240" w:lineRule="auto"/>
      <w:jc w:val="both"/>
    </w:pPr>
    <w:rPr>
      <w:rFonts w:ascii="Times New Roman" w:eastAsia="Times New Roman" w:hAnsi="Times New Roman" w:cs="Times New Roman"/>
      <w:szCs w:val="2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rsid w:val="005111F0"/>
    <w:rPr>
      <w:color w:val="0000FF" w:themeColor="hyperlink"/>
      <w:u w:val="single"/>
    </w:rPr>
  </w:style>
  <w:style w:type="character" w:customStyle="1" w:styleId="hps">
    <w:name w:val="hps"/>
    <w:basedOn w:val="Standardskrifttypeiafsnit"/>
    <w:rsid w:val="005111F0"/>
  </w:style>
  <w:style w:type="character" w:styleId="Kommentarhenvisning">
    <w:name w:val="annotation reference"/>
    <w:basedOn w:val="Standardskrifttypeiafsnit"/>
    <w:uiPriority w:val="99"/>
    <w:semiHidden/>
    <w:unhideWhenUsed/>
    <w:rsid w:val="00A82A02"/>
    <w:rPr>
      <w:sz w:val="16"/>
      <w:szCs w:val="16"/>
    </w:rPr>
  </w:style>
  <w:style w:type="paragraph" w:styleId="Kommentartekst">
    <w:name w:val="annotation text"/>
    <w:basedOn w:val="Normal"/>
    <w:link w:val="KommentartekstTegn"/>
    <w:uiPriority w:val="99"/>
    <w:semiHidden/>
    <w:unhideWhenUsed/>
    <w:rsid w:val="00A82A02"/>
    <w:rPr>
      <w:sz w:val="20"/>
    </w:rPr>
  </w:style>
  <w:style w:type="character" w:customStyle="1" w:styleId="KommentartekstTegn">
    <w:name w:val="Kommentartekst Tegn"/>
    <w:basedOn w:val="Standardskrifttypeiafsnit"/>
    <w:link w:val="Kommentartekst"/>
    <w:uiPriority w:val="99"/>
    <w:semiHidden/>
    <w:rsid w:val="00A82A02"/>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A82A02"/>
    <w:rPr>
      <w:b/>
      <w:bCs/>
    </w:rPr>
  </w:style>
  <w:style w:type="character" w:customStyle="1" w:styleId="KommentaremneTegn">
    <w:name w:val="Kommentaremne Tegn"/>
    <w:basedOn w:val="KommentartekstTegn"/>
    <w:link w:val="Kommentaremne"/>
    <w:uiPriority w:val="99"/>
    <w:semiHidden/>
    <w:rsid w:val="00A82A02"/>
    <w:rPr>
      <w:rFonts w:ascii="Times New Roman" w:eastAsia="Times New Roman" w:hAnsi="Times New Roman" w:cs="Times New Roman"/>
      <w:b/>
      <w:bCs/>
      <w:sz w:val="20"/>
      <w:szCs w:val="20"/>
      <w:lang w:eastAsia="da-DK"/>
    </w:rPr>
  </w:style>
  <w:style w:type="paragraph" w:styleId="Markeringsbobletekst">
    <w:name w:val="Balloon Text"/>
    <w:basedOn w:val="Normal"/>
    <w:link w:val="MarkeringsbobletekstTegn"/>
    <w:uiPriority w:val="99"/>
    <w:semiHidden/>
    <w:unhideWhenUsed/>
    <w:rsid w:val="00A82A02"/>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82A02"/>
    <w:rPr>
      <w:rFonts w:ascii="Tahoma" w:eastAsia="Times New Roman" w:hAnsi="Tahoma" w:cs="Tahoma"/>
      <w:sz w:val="16"/>
      <w:szCs w:val="16"/>
      <w:lang w:eastAsia="da-DK"/>
    </w:rPr>
  </w:style>
  <w:style w:type="paragraph" w:styleId="Sidehoved">
    <w:name w:val="header"/>
    <w:basedOn w:val="Normal"/>
    <w:link w:val="SidehovedTegn"/>
    <w:uiPriority w:val="99"/>
    <w:semiHidden/>
    <w:unhideWhenUsed/>
    <w:rsid w:val="00F23CE1"/>
    <w:pPr>
      <w:tabs>
        <w:tab w:val="center" w:pos="4819"/>
        <w:tab w:val="right" w:pos="9638"/>
      </w:tabs>
    </w:pPr>
  </w:style>
  <w:style w:type="character" w:customStyle="1" w:styleId="SidehovedTegn">
    <w:name w:val="Sidehoved Tegn"/>
    <w:basedOn w:val="Standardskrifttypeiafsnit"/>
    <w:link w:val="Sidehoved"/>
    <w:uiPriority w:val="99"/>
    <w:semiHidden/>
    <w:rsid w:val="00F23CE1"/>
    <w:rPr>
      <w:rFonts w:ascii="Times New Roman" w:eastAsia="Times New Roman" w:hAnsi="Times New Roman" w:cs="Times New Roman"/>
      <w:szCs w:val="20"/>
      <w:lang w:eastAsia="da-DK"/>
    </w:rPr>
  </w:style>
  <w:style w:type="paragraph" w:styleId="Sidefod">
    <w:name w:val="footer"/>
    <w:basedOn w:val="Normal"/>
    <w:link w:val="SidefodTegn"/>
    <w:uiPriority w:val="99"/>
    <w:semiHidden/>
    <w:unhideWhenUsed/>
    <w:rsid w:val="00F23CE1"/>
    <w:pPr>
      <w:tabs>
        <w:tab w:val="center" w:pos="4819"/>
        <w:tab w:val="right" w:pos="9638"/>
      </w:tabs>
    </w:pPr>
  </w:style>
  <w:style w:type="character" w:customStyle="1" w:styleId="SidefodTegn">
    <w:name w:val="Sidefod Tegn"/>
    <w:basedOn w:val="Standardskrifttypeiafsnit"/>
    <w:link w:val="Sidefod"/>
    <w:uiPriority w:val="99"/>
    <w:semiHidden/>
    <w:rsid w:val="00F23CE1"/>
    <w:rPr>
      <w:rFonts w:ascii="Times New Roman" w:eastAsia="Times New Roman" w:hAnsi="Times New Roman" w:cs="Times New Roman"/>
      <w:szCs w:val="20"/>
      <w:lang w:eastAsia="da-DK"/>
    </w:rPr>
  </w:style>
  <w:style w:type="paragraph" w:styleId="Listeafsnit">
    <w:name w:val="List Paragraph"/>
    <w:basedOn w:val="Normal"/>
    <w:uiPriority w:val="34"/>
    <w:qFormat/>
    <w:rsid w:val="000730C2"/>
    <w:pPr>
      <w:ind w:left="720"/>
      <w:contextualSpacing/>
    </w:pPr>
  </w:style>
  <w:style w:type="paragraph" w:customStyle="1" w:styleId="NormalWeb8">
    <w:name w:val="Normal (Web)8"/>
    <w:basedOn w:val="Normal"/>
    <w:rsid w:val="0024344E"/>
    <w:pPr>
      <w:spacing w:before="75" w:after="75"/>
      <w:ind w:left="225" w:right="225"/>
      <w:jc w:val="left"/>
    </w:pPr>
    <w:rPr>
      <w:szCs w:val="22"/>
    </w:rPr>
  </w:style>
  <w:style w:type="paragraph" w:customStyle="1" w:styleId="Brdtekst11">
    <w:name w:val="Brødtekst 11"/>
    <w:basedOn w:val="Normal"/>
    <w:rsid w:val="0024344E"/>
    <w:pPr>
      <w:spacing w:before="120" w:after="120"/>
      <w:jc w:val="left"/>
    </w:pPr>
    <w:rPr>
      <w:rFonts w:ascii="Arial" w:hAnsi="Arial"/>
    </w:rPr>
  </w:style>
  <w:style w:type="paragraph" w:styleId="Brdtekst">
    <w:name w:val="Body Text"/>
    <w:next w:val="Brdtekst11"/>
    <w:link w:val="BrdtekstTegn"/>
    <w:rsid w:val="0024344E"/>
    <w:pPr>
      <w:spacing w:after="120" w:line="240" w:lineRule="auto"/>
    </w:pPr>
    <w:rPr>
      <w:rFonts w:ascii="Times New Roman" w:eastAsia="Times New Roman" w:hAnsi="Times New Roman" w:cs="Times New Roman"/>
      <w:sz w:val="24"/>
      <w:szCs w:val="24"/>
      <w:lang w:eastAsia="da-DK"/>
    </w:rPr>
  </w:style>
  <w:style w:type="character" w:customStyle="1" w:styleId="BrdtekstTegn">
    <w:name w:val="Brødtekst Tegn"/>
    <w:basedOn w:val="Standardskrifttypeiafsnit"/>
    <w:link w:val="Brdtekst"/>
    <w:rsid w:val="0024344E"/>
    <w:rPr>
      <w:rFonts w:ascii="Times New Roman" w:eastAsia="Times New Roman" w:hAnsi="Times New Roman" w:cs="Times New Roman"/>
      <w:sz w:val="24"/>
      <w:szCs w:val="24"/>
      <w:lang w:eastAsia="da-DK"/>
    </w:rPr>
  </w:style>
  <w:style w:type="character" w:styleId="BesgtLink">
    <w:name w:val="FollowedHyperlink"/>
    <w:basedOn w:val="Standardskrifttypeiafsnit"/>
    <w:uiPriority w:val="99"/>
    <w:semiHidden/>
    <w:unhideWhenUsed/>
    <w:rsid w:val="006674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184293">
      <w:bodyDiv w:val="1"/>
      <w:marLeft w:val="0"/>
      <w:marRight w:val="0"/>
      <w:marTop w:val="0"/>
      <w:marBottom w:val="0"/>
      <w:divBdr>
        <w:top w:val="none" w:sz="0" w:space="0" w:color="auto"/>
        <w:left w:val="none" w:sz="0" w:space="0" w:color="auto"/>
        <w:bottom w:val="none" w:sz="0" w:space="0" w:color="auto"/>
        <w:right w:val="none" w:sz="0" w:space="0" w:color="auto"/>
      </w:divBdr>
      <w:divsChild>
        <w:div w:id="583145485">
          <w:marLeft w:val="0"/>
          <w:marRight w:val="0"/>
          <w:marTop w:val="0"/>
          <w:marBottom w:val="0"/>
          <w:divBdr>
            <w:top w:val="none" w:sz="0" w:space="0" w:color="auto"/>
            <w:left w:val="none" w:sz="0" w:space="0" w:color="auto"/>
            <w:bottom w:val="none" w:sz="0" w:space="0" w:color="auto"/>
            <w:right w:val="none" w:sz="0" w:space="0" w:color="auto"/>
          </w:divBdr>
          <w:divsChild>
            <w:div w:id="2025935949">
              <w:marLeft w:val="0"/>
              <w:marRight w:val="0"/>
              <w:marTop w:val="0"/>
              <w:marBottom w:val="0"/>
              <w:divBdr>
                <w:top w:val="none" w:sz="0" w:space="0" w:color="auto"/>
                <w:left w:val="none" w:sz="0" w:space="0" w:color="auto"/>
                <w:bottom w:val="none" w:sz="0" w:space="0" w:color="auto"/>
                <w:right w:val="none" w:sz="0" w:space="0" w:color="auto"/>
              </w:divBdr>
              <w:divsChild>
                <w:div w:id="150487234">
                  <w:marLeft w:val="0"/>
                  <w:marRight w:val="0"/>
                  <w:marTop w:val="0"/>
                  <w:marBottom w:val="0"/>
                  <w:divBdr>
                    <w:top w:val="none" w:sz="0" w:space="0" w:color="auto"/>
                    <w:left w:val="none" w:sz="0" w:space="0" w:color="auto"/>
                    <w:bottom w:val="none" w:sz="0" w:space="0" w:color="auto"/>
                    <w:right w:val="none" w:sz="0" w:space="0" w:color="auto"/>
                  </w:divBdr>
                  <w:divsChild>
                    <w:div w:id="1329557152">
                      <w:marLeft w:val="0"/>
                      <w:marRight w:val="0"/>
                      <w:marTop w:val="0"/>
                      <w:marBottom w:val="0"/>
                      <w:divBdr>
                        <w:top w:val="none" w:sz="0" w:space="0" w:color="auto"/>
                        <w:left w:val="none" w:sz="0" w:space="0" w:color="auto"/>
                        <w:bottom w:val="none" w:sz="0" w:space="0" w:color="auto"/>
                        <w:right w:val="none" w:sz="0" w:space="0" w:color="auto"/>
                      </w:divBdr>
                      <w:divsChild>
                        <w:div w:id="884222100">
                          <w:marLeft w:val="0"/>
                          <w:marRight w:val="0"/>
                          <w:marTop w:val="0"/>
                          <w:marBottom w:val="0"/>
                          <w:divBdr>
                            <w:top w:val="none" w:sz="0" w:space="0" w:color="auto"/>
                            <w:left w:val="none" w:sz="0" w:space="0" w:color="auto"/>
                            <w:bottom w:val="none" w:sz="0" w:space="0" w:color="auto"/>
                            <w:right w:val="none" w:sz="0" w:space="0" w:color="auto"/>
                          </w:divBdr>
                          <w:divsChild>
                            <w:div w:id="1814785543">
                              <w:marLeft w:val="0"/>
                              <w:marRight w:val="0"/>
                              <w:marTop w:val="0"/>
                              <w:marBottom w:val="0"/>
                              <w:divBdr>
                                <w:top w:val="none" w:sz="0" w:space="0" w:color="auto"/>
                                <w:left w:val="none" w:sz="0" w:space="0" w:color="auto"/>
                                <w:bottom w:val="none" w:sz="0" w:space="0" w:color="auto"/>
                                <w:right w:val="none" w:sz="0" w:space="0" w:color="auto"/>
                              </w:divBdr>
                              <w:divsChild>
                                <w:div w:id="2042507447">
                                  <w:marLeft w:val="0"/>
                                  <w:marRight w:val="0"/>
                                  <w:marTop w:val="0"/>
                                  <w:marBottom w:val="0"/>
                                  <w:divBdr>
                                    <w:top w:val="none" w:sz="0" w:space="0" w:color="auto"/>
                                    <w:left w:val="none" w:sz="0" w:space="0" w:color="auto"/>
                                    <w:bottom w:val="none" w:sz="0" w:space="0" w:color="auto"/>
                                    <w:right w:val="none" w:sz="0" w:space="0" w:color="auto"/>
                                  </w:divBdr>
                                  <w:divsChild>
                                    <w:div w:id="1591232373">
                                      <w:marLeft w:val="0"/>
                                      <w:marRight w:val="0"/>
                                      <w:marTop w:val="0"/>
                                      <w:marBottom w:val="0"/>
                                      <w:divBdr>
                                        <w:top w:val="single" w:sz="6" w:space="0" w:color="F5F5F5"/>
                                        <w:left w:val="single" w:sz="6" w:space="0" w:color="F5F5F5"/>
                                        <w:bottom w:val="single" w:sz="6" w:space="0" w:color="F5F5F5"/>
                                        <w:right w:val="single" w:sz="6" w:space="0" w:color="F5F5F5"/>
                                      </w:divBdr>
                                      <w:divsChild>
                                        <w:div w:id="765928299">
                                          <w:marLeft w:val="0"/>
                                          <w:marRight w:val="0"/>
                                          <w:marTop w:val="0"/>
                                          <w:marBottom w:val="0"/>
                                          <w:divBdr>
                                            <w:top w:val="none" w:sz="0" w:space="0" w:color="auto"/>
                                            <w:left w:val="none" w:sz="0" w:space="0" w:color="auto"/>
                                            <w:bottom w:val="none" w:sz="0" w:space="0" w:color="auto"/>
                                            <w:right w:val="none" w:sz="0" w:space="0" w:color="auto"/>
                                          </w:divBdr>
                                          <w:divsChild>
                                            <w:div w:id="164962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5040950">
      <w:bodyDiv w:val="1"/>
      <w:marLeft w:val="0"/>
      <w:marRight w:val="0"/>
      <w:marTop w:val="0"/>
      <w:marBottom w:val="0"/>
      <w:divBdr>
        <w:top w:val="none" w:sz="0" w:space="0" w:color="auto"/>
        <w:left w:val="none" w:sz="0" w:space="0" w:color="auto"/>
        <w:bottom w:val="none" w:sz="0" w:space="0" w:color="auto"/>
        <w:right w:val="none" w:sz="0" w:space="0" w:color="auto"/>
      </w:divBdr>
      <w:divsChild>
        <w:div w:id="1558318777">
          <w:marLeft w:val="0"/>
          <w:marRight w:val="0"/>
          <w:marTop w:val="0"/>
          <w:marBottom w:val="0"/>
          <w:divBdr>
            <w:top w:val="none" w:sz="0" w:space="0" w:color="auto"/>
            <w:left w:val="none" w:sz="0" w:space="0" w:color="auto"/>
            <w:bottom w:val="none" w:sz="0" w:space="0" w:color="auto"/>
            <w:right w:val="none" w:sz="0" w:space="0" w:color="auto"/>
          </w:divBdr>
          <w:divsChild>
            <w:div w:id="1505320312">
              <w:marLeft w:val="0"/>
              <w:marRight w:val="0"/>
              <w:marTop w:val="0"/>
              <w:marBottom w:val="0"/>
              <w:divBdr>
                <w:top w:val="none" w:sz="0" w:space="0" w:color="auto"/>
                <w:left w:val="none" w:sz="0" w:space="0" w:color="auto"/>
                <w:bottom w:val="none" w:sz="0" w:space="0" w:color="auto"/>
                <w:right w:val="none" w:sz="0" w:space="0" w:color="auto"/>
              </w:divBdr>
              <w:divsChild>
                <w:div w:id="542866019">
                  <w:marLeft w:val="0"/>
                  <w:marRight w:val="0"/>
                  <w:marTop w:val="0"/>
                  <w:marBottom w:val="0"/>
                  <w:divBdr>
                    <w:top w:val="none" w:sz="0" w:space="0" w:color="auto"/>
                    <w:left w:val="none" w:sz="0" w:space="0" w:color="auto"/>
                    <w:bottom w:val="none" w:sz="0" w:space="0" w:color="auto"/>
                    <w:right w:val="none" w:sz="0" w:space="0" w:color="auto"/>
                  </w:divBdr>
                  <w:divsChild>
                    <w:div w:id="1179929486">
                      <w:marLeft w:val="0"/>
                      <w:marRight w:val="0"/>
                      <w:marTop w:val="0"/>
                      <w:marBottom w:val="0"/>
                      <w:divBdr>
                        <w:top w:val="none" w:sz="0" w:space="0" w:color="auto"/>
                        <w:left w:val="none" w:sz="0" w:space="0" w:color="auto"/>
                        <w:bottom w:val="none" w:sz="0" w:space="0" w:color="auto"/>
                        <w:right w:val="none" w:sz="0" w:space="0" w:color="auto"/>
                      </w:divBdr>
                      <w:divsChild>
                        <w:div w:id="1028071538">
                          <w:marLeft w:val="0"/>
                          <w:marRight w:val="0"/>
                          <w:marTop w:val="0"/>
                          <w:marBottom w:val="0"/>
                          <w:divBdr>
                            <w:top w:val="none" w:sz="0" w:space="0" w:color="auto"/>
                            <w:left w:val="none" w:sz="0" w:space="0" w:color="auto"/>
                            <w:bottom w:val="none" w:sz="0" w:space="0" w:color="auto"/>
                            <w:right w:val="none" w:sz="0" w:space="0" w:color="auto"/>
                          </w:divBdr>
                          <w:divsChild>
                            <w:div w:id="1417357640">
                              <w:marLeft w:val="0"/>
                              <w:marRight w:val="0"/>
                              <w:marTop w:val="0"/>
                              <w:marBottom w:val="0"/>
                              <w:divBdr>
                                <w:top w:val="none" w:sz="0" w:space="0" w:color="auto"/>
                                <w:left w:val="none" w:sz="0" w:space="0" w:color="auto"/>
                                <w:bottom w:val="none" w:sz="0" w:space="0" w:color="auto"/>
                                <w:right w:val="none" w:sz="0" w:space="0" w:color="auto"/>
                              </w:divBdr>
                              <w:divsChild>
                                <w:div w:id="1072122590">
                                  <w:marLeft w:val="0"/>
                                  <w:marRight w:val="0"/>
                                  <w:marTop w:val="0"/>
                                  <w:marBottom w:val="0"/>
                                  <w:divBdr>
                                    <w:top w:val="none" w:sz="0" w:space="0" w:color="auto"/>
                                    <w:left w:val="none" w:sz="0" w:space="0" w:color="auto"/>
                                    <w:bottom w:val="none" w:sz="0" w:space="0" w:color="auto"/>
                                    <w:right w:val="none" w:sz="0" w:space="0" w:color="auto"/>
                                  </w:divBdr>
                                  <w:divsChild>
                                    <w:div w:id="706294272">
                                      <w:marLeft w:val="0"/>
                                      <w:marRight w:val="0"/>
                                      <w:marTop w:val="0"/>
                                      <w:marBottom w:val="0"/>
                                      <w:divBdr>
                                        <w:top w:val="single" w:sz="6" w:space="0" w:color="F5F5F5"/>
                                        <w:left w:val="single" w:sz="6" w:space="0" w:color="F5F5F5"/>
                                        <w:bottom w:val="single" w:sz="6" w:space="0" w:color="F5F5F5"/>
                                        <w:right w:val="single" w:sz="6" w:space="0" w:color="F5F5F5"/>
                                      </w:divBdr>
                                      <w:divsChild>
                                        <w:div w:id="1291669844">
                                          <w:marLeft w:val="0"/>
                                          <w:marRight w:val="0"/>
                                          <w:marTop w:val="0"/>
                                          <w:marBottom w:val="0"/>
                                          <w:divBdr>
                                            <w:top w:val="none" w:sz="0" w:space="0" w:color="auto"/>
                                            <w:left w:val="none" w:sz="0" w:space="0" w:color="auto"/>
                                            <w:bottom w:val="none" w:sz="0" w:space="0" w:color="auto"/>
                                            <w:right w:val="none" w:sz="0" w:space="0" w:color="auto"/>
                                          </w:divBdr>
                                          <w:divsChild>
                                            <w:div w:id="9122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tools/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ne.dk/visArtikelBred.asp?artikelID=8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B2C35-ADA6-4449-9564-B4434101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818</Words>
  <Characters>4996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Banedanmark</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Lilleøre Jæger</dc:creator>
  <cp:lastModifiedBy>Tue Rye Windfeld (TRWE)</cp:lastModifiedBy>
  <cp:revision>3</cp:revision>
  <cp:lastPrinted>2017-03-07T10:19:00Z</cp:lastPrinted>
  <dcterms:created xsi:type="dcterms:W3CDTF">2018-05-31T14:28:00Z</dcterms:created>
  <dcterms:modified xsi:type="dcterms:W3CDTF">2018-06-11T11:15:00Z</dcterms:modified>
</cp:coreProperties>
</file>